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Business Case: Additional Governance Capacity</w:t>
      </w:r>
    </w:p>
    <w:p>
      <w:pPr>
        <w:pBdr>
          <w:bottom w:val="single" w:color="8E2E36" w:sz="12" w:space="10"/>
        </w:pBdr>
        <w:spacing w:after="320"/>
      </w:pPr>
      <w:r>
        <w:rPr>
          <w:color w:val="7A6F69"/>
          <w:sz w:val="24"/>
          <w:szCs w:val="24"/>
        </w:rPr>
        <w:t xml:space="preserve">Securing internal approval for flexible governance support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5ADA6" w:sz="24"/>
              <w:bottom w:val="none" w:color="FFFFFF" w:sz="0"/>
              <w:right w:val="none" w:color="FFFFFF" w:sz="0"/>
            </w:tcBorders>
            <w:shd w:fill="F3F1EE" w:color="auto" w:val="clear"/>
            <w:tcMar>
              <w:top w:type="dxa" w:w="160"/>
              <w:left w:type="dxa" w:w="240"/>
              <w:bottom w:type="dxa" w:w="100"/>
              <w:right w:type="dxa" w:w="240"/>
            </w:tcMar>
          </w:tcPr>
          <w:p>
            <w:pPr>
              <w:spacing w:after="100"/>
            </w:pPr>
            <w:r>
              <w:rPr>
                <w:b/>
                <w:bCs/>
                <w:color w:val="7A6F69"/>
                <w:spacing w:val="40"/>
                <w:sz w:val="16"/>
                <w:szCs w:val="16"/>
              </w:rPr>
              <w:t xml:space="preserve">HOW TO USE THIS TEMPLATE  ·  DELETE BEFORE SHARING</w:t>
            </w:r>
          </w:p>
          <w:p>
            <w:pPr>
              <w:spacing w:after="140" w:line="300"/>
            </w:pPr>
            <w:r>
              <w:rPr>
                <w:color w:val="3A3230"/>
              </w:rPr>
              <w:t xml:space="preserve">Replace every bracketed field with your own detail. Keep the structure. The default wording is written to stand on its own, so the document works even if you change nothing else. Delete the grey guidance boxes before you share it.</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cantSplit/>
        </w:trPr>
        <w:tc>
          <w:tcPr>
            <w:tcW w:type="dxa" w:w="2600"/>
            <w:tcBorders>
              <w:top w:val="none" w:color="FFFFFF" w:sz="0"/>
              <w:left w:val="none" w:color="FFFFFF" w:sz="0"/>
              <w:bottom w:val="single" w:color="DDD6CF" w:sz="4"/>
              <w:right w:val="none" w:color="FFFFFF" w:sz="0"/>
            </w:tcBorders>
            <w:tcMar>
              <w:top w:type="dxa" w:w="90"/>
              <w:left w:type="dxa" w:w="0"/>
              <w:bottom w:type="dxa" w:w="90"/>
              <w:right w:type="dxa" w:w="120"/>
            </w:tcMar>
          </w:tcPr>
          <w:p>
            <w:r>
              <w:rPr>
                <w:b/>
                <w:bCs/>
                <w:color w:val="2B2220"/>
              </w:rPr>
              <w:t xml:space="preserve">Prepared for</w:t>
            </w:r>
          </w:p>
        </w:tc>
        <w:tc>
          <w:tcPr>
            <w:tcW w:type="dxa" w:w="6426"/>
            <w:tcBorders>
              <w:top w:val="none" w:color="FFFFFF" w:sz="0"/>
              <w:left w:val="none" w:color="FFFFFF" w:sz="0"/>
              <w:bottom w:val="single" w:color="DDD6CF" w:sz="4"/>
              <w:right w:val="none" w:color="FFFFFF" w:sz="0"/>
            </w:tcBorders>
            <w:tcMar>
              <w:top w:type="dxa" w:w="90"/>
              <w:left w:type="dxa" w:w="0"/>
              <w:bottom w:type="dxa" w:w="90"/>
              <w:right w:type="dxa" w:w="0"/>
            </w:tcMar>
          </w:tcPr>
          <w:p>
            <w:pPr>
              <w:spacing w:line="280"/>
            </w:pPr>
            <w:r>
              <w:rPr>
                <w:b/>
                <w:bCs/>
                <w:color w:val="8E2E36"/>
              </w:rPr>
              <w:t xml:space="preserve">[Name, role. For example Chief Financial Officer]</w:t>
            </w:r>
          </w:p>
        </w:tc>
      </w:tr>
      <w:tr>
        <w:trPr>
          <w:cantSplit/>
        </w:trPr>
        <w:tc>
          <w:tcPr>
            <w:tcW w:type="dxa" w:w="2600"/>
            <w:tcBorders>
              <w:top w:val="none" w:color="FFFFFF" w:sz="0"/>
              <w:left w:val="none" w:color="FFFFFF" w:sz="0"/>
              <w:bottom w:val="single" w:color="DDD6CF" w:sz="4"/>
              <w:right w:val="none" w:color="FFFFFF" w:sz="0"/>
            </w:tcBorders>
            <w:tcMar>
              <w:top w:type="dxa" w:w="90"/>
              <w:left w:type="dxa" w:w="0"/>
              <w:bottom w:type="dxa" w:w="90"/>
              <w:right w:type="dxa" w:w="120"/>
            </w:tcMar>
          </w:tcPr>
          <w:p>
            <w:r>
              <w:rPr>
                <w:b/>
                <w:bCs/>
                <w:color w:val="2B2220"/>
              </w:rPr>
              <w:t xml:space="preserve">Prepared by</w:t>
            </w:r>
          </w:p>
        </w:tc>
        <w:tc>
          <w:tcPr>
            <w:tcW w:type="dxa" w:w="6426"/>
            <w:tcBorders>
              <w:top w:val="none" w:color="FFFFFF" w:sz="0"/>
              <w:left w:val="none" w:color="FFFFFF" w:sz="0"/>
              <w:bottom w:val="single" w:color="DDD6CF" w:sz="4"/>
              <w:right w:val="none" w:color="FFFFFF" w:sz="0"/>
            </w:tcBorders>
            <w:tcMar>
              <w:top w:type="dxa" w:w="90"/>
              <w:left w:type="dxa" w:w="0"/>
              <w:bottom w:type="dxa" w:w="90"/>
              <w:right w:type="dxa" w:w="0"/>
            </w:tcMar>
          </w:tcPr>
          <w:p>
            <w:pPr>
              <w:spacing w:line="280"/>
            </w:pPr>
            <w:r>
              <w:rPr>
                <w:b/>
                <w:bCs/>
                <w:color w:val="8E2E36"/>
              </w:rPr>
              <w:t xml:space="preserve">[Your name, role]</w:t>
            </w:r>
          </w:p>
        </w:tc>
      </w:tr>
      <w:tr>
        <w:trPr>
          <w:cantSplit/>
        </w:trPr>
        <w:tc>
          <w:tcPr>
            <w:tcW w:type="dxa" w:w="2600"/>
            <w:tcBorders>
              <w:top w:val="none" w:color="FFFFFF" w:sz="0"/>
              <w:left w:val="none" w:color="FFFFFF" w:sz="0"/>
              <w:bottom w:val="single" w:color="DDD6CF" w:sz="4"/>
              <w:right w:val="none" w:color="FFFFFF" w:sz="0"/>
            </w:tcBorders>
            <w:tcMar>
              <w:top w:type="dxa" w:w="90"/>
              <w:left w:type="dxa" w:w="0"/>
              <w:bottom w:type="dxa" w:w="90"/>
              <w:right w:type="dxa" w:w="120"/>
            </w:tcMar>
          </w:tcPr>
          <w:p>
            <w:r>
              <w:rPr>
                <w:b/>
                <w:bCs/>
                <w:color w:val="2B2220"/>
              </w:rPr>
              <w:t xml:space="preserve">Date</w:t>
            </w:r>
          </w:p>
        </w:tc>
        <w:tc>
          <w:tcPr>
            <w:tcW w:type="dxa" w:w="6426"/>
            <w:tcBorders>
              <w:top w:val="none" w:color="FFFFFF" w:sz="0"/>
              <w:left w:val="none" w:color="FFFFFF" w:sz="0"/>
              <w:bottom w:val="single" w:color="DDD6CF" w:sz="4"/>
              <w:right w:val="none" w:color="FFFFFF" w:sz="0"/>
            </w:tcBorders>
            <w:tcMar>
              <w:top w:type="dxa" w:w="90"/>
              <w:left w:type="dxa" w:w="0"/>
              <w:bottom w:type="dxa" w:w="90"/>
              <w:right w:type="dxa" w:w="0"/>
            </w:tcMar>
          </w:tcPr>
          <w:p>
            <w:pPr>
              <w:spacing w:line="280"/>
            </w:pPr>
            <w:r>
              <w:rPr>
                <w:b/>
                <w:bCs/>
                <w:color w:val="8E2E36"/>
              </w:rPr>
              <w:t xml:space="preserve">[Date]</w:t>
            </w:r>
          </w:p>
        </w:tc>
      </w:tr>
      <w:tr>
        <w:trPr>
          <w:cantSplit/>
        </w:trPr>
        <w:tc>
          <w:tcPr>
            <w:tcW w:type="dxa" w:w="2600"/>
            <w:tcBorders>
              <w:top w:val="none" w:color="FFFFFF" w:sz="0"/>
              <w:left w:val="none" w:color="FFFFFF" w:sz="0"/>
              <w:bottom w:val="single" w:color="DDD6CF" w:sz="4"/>
              <w:right w:val="none" w:color="FFFFFF" w:sz="0"/>
            </w:tcBorders>
            <w:tcMar>
              <w:top w:type="dxa" w:w="90"/>
              <w:left w:type="dxa" w:w="0"/>
              <w:bottom w:type="dxa" w:w="90"/>
              <w:right w:type="dxa" w:w="120"/>
            </w:tcMar>
          </w:tcPr>
          <w:p>
            <w:r>
              <w:rPr>
                <w:b/>
                <w:bCs/>
                <w:color w:val="2B2220"/>
              </w:rPr>
              <w:t xml:space="preserve">Decision sought</w:t>
            </w:r>
          </w:p>
        </w:tc>
        <w:tc>
          <w:tcPr>
            <w:tcW w:type="dxa" w:w="6426"/>
            <w:tcBorders>
              <w:top w:val="none" w:color="FFFFFF" w:sz="0"/>
              <w:left w:val="none" w:color="FFFFFF" w:sz="0"/>
              <w:bottom w:val="single" w:color="DDD6CF" w:sz="4"/>
              <w:right w:val="none" w:color="FFFFFF" w:sz="0"/>
            </w:tcBorders>
            <w:tcMar>
              <w:top w:type="dxa" w:w="90"/>
              <w:left w:type="dxa" w:w="0"/>
              <w:bottom w:type="dxa" w:w="90"/>
              <w:right w:type="dxa" w:w="0"/>
            </w:tcMar>
          </w:tcPr>
          <w:p>
            <w:pPr>
              <w:spacing w:line="280"/>
            </w:pPr>
            <w:r>
              <w:t xml:space="preserve">Approval to engage flexible governance support</w:t>
            </w:r>
          </w:p>
        </w:tc>
      </w:tr>
    </w:tbl>
    <w:p>
      <w:pPr>
        <w:spacing w:after="120"/>
      </w:pPr>
    </w:p>
    <w:p>
      <w:pPr>
        <w:pStyle w:val="Heading1"/>
      </w:pPr>
      <w:r>
        <w:t xml:space="preserve">1. Purpose</w:t>
      </w:r>
    </w:p>
    <w:p>
      <w:pPr>
        <w:spacing w:after="140" w:line="300"/>
      </w:pPr>
      <w:r>
        <w:t xml:space="preserve">This document sets out the case for additional support for the governance and company secretarial function. It is written to be shared with the stakeholders who approve resource, including Finance, Procurement, the CFO, the CEO, General Counsel or the Board.</w:t>
      </w:r>
    </w:p>
    <w:p>
      <w:pPr>
        <w:pStyle w:val="Heading1"/>
      </w:pPr>
      <w:r>
        <w:t xml:space="preserve">2. Current situation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5ADA6" w:sz="24"/>
              <w:bottom w:val="none" w:color="FFFFFF" w:sz="0"/>
              <w:right w:val="none" w:color="FFFFFF" w:sz="0"/>
            </w:tcBorders>
            <w:shd w:fill="F3F1EE" w:color="auto" w:val="clear"/>
            <w:tcMar>
              <w:top w:type="dxa" w:w="160"/>
              <w:left w:type="dxa" w:w="240"/>
              <w:bottom w:type="dxa" w:w="100"/>
              <w:right w:type="dxa" w:w="240"/>
            </w:tcMar>
          </w:tcPr>
          <w:p>
            <w:pPr>
              <w:spacing w:after="60"/>
            </w:pPr>
            <w:r>
              <w:rPr>
                <w:i/>
                <w:iCs/>
                <w:color w:val="7A6F69"/>
                <w:sz w:val="19"/>
                <w:szCs w:val="19"/>
              </w:rPr>
              <w:t xml:space="preserve">Guidance: Describe the position in two or three sentences. Keep it factual.</w:t>
            </w:r>
          </w:p>
        </w:tc>
      </w:tr>
    </w:tbl>
    <w:p>
      <w:pPr>
        <w:spacing w:after="120"/>
      </w:pPr>
    </w:p>
    <w:p>
      <w:pPr>
        <w:spacing w:after="140" w:line="300"/>
      </w:pPr>
      <w:r>
        <w:t xml:space="preserve">The governance and company secretarial function is operating at full capacity. Demand has risen with the growth and complexity of the organisation. Resource has not risen at the same rate. This places sustained pressure on the team and increases risk during critical periods.</w:t>
      </w:r>
    </w:p>
    <w:p>
      <w:pPr>
        <w:pStyle w:val="Heading1"/>
      </w:pPr>
      <w:r>
        <w:t xml:space="preserve">3. Key challenges</w:t>
      </w:r>
    </w:p>
    <w:p>
      <w:pPr>
        <w:pStyle w:val="ListParagraph"/>
        <w:numPr>
          <w:ilvl w:val="0"/>
          <w:numId w:val="2"/>
        </w:numPr>
        <w:spacing w:after="80" w:line="290"/>
      </w:pPr>
      <w:r>
        <w:t xml:space="preserve">Limited capacity to meet increasing governance demands</w:t>
      </w:r>
    </w:p>
    <w:p>
      <w:pPr>
        <w:pStyle w:val="ListParagraph"/>
        <w:numPr>
          <w:ilvl w:val="0"/>
          <w:numId w:val="2"/>
        </w:numPr>
        <w:spacing w:after="80" w:line="290"/>
      </w:pPr>
      <w:r>
        <w:t xml:space="preserve">Reliance on a small number of individuals, creating key person risk</w:t>
      </w:r>
    </w:p>
    <w:p>
      <w:pPr>
        <w:pStyle w:val="ListParagraph"/>
        <w:numPr>
          <w:ilvl w:val="0"/>
          <w:numId w:val="2"/>
        </w:numPr>
        <w:spacing w:after="80" w:line="290"/>
      </w:pPr>
      <w:r>
        <w:t xml:space="preserve">Concentrated workload during peak periods such as AGMs, transactions and reporting</w:t>
      </w:r>
    </w:p>
    <w:p>
      <w:pPr>
        <w:pStyle w:val="ListParagraph"/>
        <w:numPr>
          <w:ilvl w:val="0"/>
          <w:numId w:val="2"/>
        </w:numPr>
        <w:spacing w:after="80" w:line="290"/>
      </w:pPr>
      <w:r>
        <w:t xml:space="preserve">Risk of delay, or of reduced quality, in core governance delivery</w:t>
      </w:r>
    </w:p>
    <w:p>
      <w:pPr>
        <w:pStyle w:val="Heading1"/>
      </w:pPr>
      <w:r>
        <w:t xml:space="preserve">4. Risks of not acting</w:t>
      </w:r>
    </w:p>
    <w:p>
      <w:pPr>
        <w:pStyle w:val="ListParagraph"/>
        <w:numPr>
          <w:ilvl w:val="0"/>
          <w:numId w:val="2"/>
        </w:numPr>
        <w:spacing w:after="80" w:line="290"/>
      </w:pPr>
      <w:r>
        <w:t xml:space="preserve">Increased governance and compliance risk</w:t>
      </w:r>
    </w:p>
    <w:p>
      <w:pPr>
        <w:pStyle w:val="ListParagraph"/>
        <w:numPr>
          <w:ilvl w:val="0"/>
          <w:numId w:val="2"/>
        </w:numPr>
        <w:spacing w:after="80" w:line="290"/>
      </w:pPr>
      <w:r>
        <w:t xml:space="preserve">Reduced confidence at Board level</w:t>
      </w:r>
    </w:p>
    <w:p>
      <w:pPr>
        <w:pStyle w:val="ListParagraph"/>
        <w:numPr>
          <w:ilvl w:val="0"/>
          <w:numId w:val="2"/>
        </w:numPr>
        <w:spacing w:after="80" w:line="290"/>
      </w:pPr>
      <w:r>
        <w:t xml:space="preserve">Team fatigue, and the loss of experienced people</w:t>
      </w:r>
    </w:p>
    <w:p>
      <w:pPr>
        <w:pStyle w:val="ListParagraph"/>
        <w:numPr>
          <w:ilvl w:val="0"/>
          <w:numId w:val="2"/>
        </w:numPr>
        <w:spacing w:after="80" w:line="290"/>
      </w:pPr>
      <w:r>
        <w:t xml:space="preserve">Delay to strategic initiatives and transactions</w:t>
      </w:r>
    </w:p>
    <w:p>
      <w:pPr>
        <w:pStyle w:val="Heading1"/>
      </w:pPr>
      <w:r>
        <w:t xml:space="preserve">5. Proposed solution: CoSec-on-Demand from Beyond Governance</w:t>
      </w:r>
    </w:p>
    <w:p>
      <w:pPr>
        <w:spacing w:after="140" w:line="300"/>
      </w:pPr>
      <w:r>
        <w:t xml:space="preserve">Beyond Governance provides experienced governance professionals who can be deployed quickly to support the team. This is not recruitment. It is flexible, scalable support, delivered by employed professionals and backed by a wider team.</w:t>
      </w:r>
    </w:p>
    <w:p>
      <w:pPr>
        <w:pStyle w:val="Heading1"/>
      </w:pPr>
      <w:r>
        <w:t xml:space="preserve">6. Key benefits</w:t>
      </w:r>
    </w:p>
    <w:p>
      <w:pPr>
        <w:pStyle w:val="ListParagraph"/>
        <w:numPr>
          <w:ilvl w:val="0"/>
          <w:numId w:val="2"/>
        </w:numPr>
        <w:spacing w:after="80" w:line="290"/>
      </w:pPr>
      <w:r>
        <w:t xml:space="preserve">Immediate access to experienced governance professionals</w:t>
      </w:r>
    </w:p>
    <w:p>
      <w:pPr>
        <w:pStyle w:val="ListParagraph"/>
        <w:numPr>
          <w:ilvl w:val="0"/>
          <w:numId w:val="2"/>
        </w:numPr>
        <w:spacing w:after="80" w:line="290"/>
      </w:pPr>
      <w:r>
        <w:t xml:space="preserve">Flexible support, from a few hours to full time across several months</w:t>
      </w:r>
    </w:p>
    <w:p>
      <w:pPr>
        <w:pStyle w:val="ListParagraph"/>
        <w:numPr>
          <w:ilvl w:val="0"/>
          <w:numId w:val="2"/>
        </w:numPr>
        <w:spacing w:after="80" w:line="290"/>
      </w:pPr>
      <w:r>
        <w:t xml:space="preserve">No recruitment fees, and outside IR35</w:t>
      </w:r>
    </w:p>
    <w:p>
      <w:pPr>
        <w:pStyle w:val="ListParagraph"/>
        <w:numPr>
          <w:ilvl w:val="0"/>
          <w:numId w:val="2"/>
        </w:numPr>
        <w:spacing w:after="80" w:line="290"/>
      </w:pPr>
      <w:r>
        <w:t xml:space="preserve">Reduced pressure on the existing team</w:t>
      </w:r>
    </w:p>
    <w:p>
      <w:pPr>
        <w:pStyle w:val="ListParagraph"/>
        <w:numPr>
          <w:ilvl w:val="0"/>
          <w:numId w:val="2"/>
        </w:numPr>
        <w:spacing w:after="80" w:line="290"/>
      </w:pPr>
      <w:r>
        <w:t xml:space="preserve">Continuity of governance, and of Board confidence</w:t>
      </w:r>
    </w:p>
    <w:p>
      <w:pPr>
        <w:pStyle w:val="ListParagraph"/>
        <w:numPr>
          <w:ilvl w:val="0"/>
          <w:numId w:val="2"/>
        </w:numPr>
        <w:spacing w:after="80" w:line="290"/>
      </w:pPr>
      <w:r>
        <w:t xml:space="preserve">The ability to scale support up or down as need changes</w:t>
      </w:r>
    </w:p>
    <w:p>
      <w:pPr>
        <w:pStyle w:val="Heading1"/>
      </w:pPr>
      <w:r>
        <w:t xml:space="preserve">7. Commercial considerations</w:t>
      </w:r>
    </w:p>
    <w:p>
      <w:pPr>
        <w:pStyle w:val="ListParagraph"/>
        <w:numPr>
          <w:ilvl w:val="0"/>
          <w:numId w:val="2"/>
        </w:numPr>
        <w:spacing w:after="80" w:line="290"/>
      </w:pPr>
      <w:r>
        <w:t xml:space="preserve">Day rate or project based pricing</w:t>
      </w:r>
    </w:p>
    <w:p>
      <w:pPr>
        <w:pStyle w:val="ListParagraph"/>
        <w:numPr>
          <w:ilvl w:val="0"/>
          <w:numId w:val="2"/>
        </w:numPr>
        <w:spacing w:after="80" w:line="290"/>
      </w:pPr>
      <w:r>
        <w:t xml:space="preserve">No long term hiring commitment</w:t>
      </w:r>
    </w:p>
    <w:p>
      <w:pPr>
        <w:pStyle w:val="ListParagraph"/>
        <w:numPr>
          <w:ilvl w:val="0"/>
          <w:numId w:val="2"/>
        </w:numPr>
        <w:spacing w:after="80" w:line="290"/>
      </w:pPr>
      <w:r>
        <w:t xml:space="preserve">Cost effective against permanent recruitment, or against the cost of delay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5ADA6" w:sz="24"/>
              <w:bottom w:val="none" w:color="FFFFFF" w:sz="0"/>
              <w:right w:val="none" w:color="FFFFFF" w:sz="0"/>
            </w:tcBorders>
            <w:shd w:fill="F3F1EE" w:color="auto" w:val="clear"/>
            <w:tcMar>
              <w:top w:type="dxa" w:w="160"/>
              <w:left w:type="dxa" w:w="240"/>
              <w:bottom w:type="dxa" w:w="100"/>
              <w:right w:type="dxa" w:w="240"/>
            </w:tcMar>
          </w:tcPr>
          <w:p>
            <w:pPr>
              <w:spacing w:after="60"/>
            </w:pPr>
            <w:r>
              <w:rPr>
                <w:i/>
                <w:iCs/>
                <w:color w:val="7A6F69"/>
                <w:sz w:val="19"/>
                <w:szCs w:val="19"/>
              </w:rPr>
              <w:t xml:space="preserve">Guidance: If you have indicative figures, add them here. For example: estimated </w:t>
            </w:r>
            <w:r>
              <w:rPr>
                <w:b/>
                <w:bCs/>
                <w:i/>
                <w:iCs/>
                <w:color w:val="8E2E36"/>
                <w:sz w:val="19"/>
                <w:szCs w:val="19"/>
              </w:rPr>
              <w:t xml:space="preserve">[X]</w:t>
            </w:r>
            <w:r>
              <w:rPr>
                <w:i/>
                <w:iCs/>
                <w:color w:val="7A6F69"/>
                <w:sz w:val="19"/>
                <w:szCs w:val="19"/>
              </w:rPr>
              <w:t xml:space="preserve"> days per month at a day rate of </w:t>
            </w:r>
            <w:r>
              <w:rPr>
                <w:b/>
                <w:bCs/>
                <w:i/>
                <w:iCs/>
                <w:color w:val="8E2E36"/>
                <w:sz w:val="19"/>
                <w:szCs w:val="19"/>
              </w:rPr>
              <w:t xml:space="preserve">[£X]</w:t>
            </w:r>
            <w:r>
              <w:rPr>
                <w:i/>
                <w:iCs/>
                <w:color w:val="7A6F69"/>
                <w:sz w:val="19"/>
                <w:szCs w:val="19"/>
              </w:rPr>
              <w:t xml:space="preserve">, compared with a permanent salary of </w:t>
            </w:r>
            <w:r>
              <w:rPr>
                <w:b/>
                <w:bCs/>
                <w:i/>
                <w:iCs/>
                <w:color w:val="8E2E36"/>
                <w:sz w:val="19"/>
                <w:szCs w:val="19"/>
              </w:rPr>
              <w:t xml:space="preserve">[£X]</w:t>
            </w:r>
            <w:r>
              <w:rPr>
                <w:i/>
                <w:iCs/>
                <w:color w:val="7A6F69"/>
                <w:sz w:val="19"/>
                <w:szCs w:val="19"/>
              </w:rPr>
              <w:t xml:space="preserve"> plus on costs and recruitment fees.</w:t>
            </w:r>
          </w:p>
        </w:tc>
      </w:tr>
    </w:tbl>
    <w:p>
      <w:pPr>
        <w:spacing w:after="120"/>
      </w:pPr>
    </w:p>
    <w:p>
      <w:pPr>
        <w:pStyle w:val="Heading1"/>
      </w:pPr>
      <w:r>
        <w:t xml:space="preserve">8. Why Beyond Governance</w:t>
      </w:r>
    </w:p>
    <w:p>
      <w:pPr>
        <w:pStyle w:val="ListParagraph"/>
        <w:numPr>
          <w:ilvl w:val="0"/>
          <w:numId w:val="2"/>
        </w:numPr>
        <w:spacing w:after="80" w:line="290"/>
      </w:pPr>
      <w:r>
        <w:t xml:space="preserve">Professionals with lived in house experience</w:t>
      </w:r>
    </w:p>
    <w:p>
      <w:pPr>
        <w:pStyle w:val="ListParagraph"/>
        <w:numPr>
          <w:ilvl w:val="0"/>
          <w:numId w:val="2"/>
        </w:numPr>
        <w:spacing w:after="80" w:line="290"/>
      </w:pPr>
      <w:r>
        <w:t xml:space="preserve">Consistent, accountable delivery</w:t>
      </w:r>
    </w:p>
    <w:p>
      <w:pPr>
        <w:pStyle w:val="ListParagraph"/>
        <w:numPr>
          <w:ilvl w:val="0"/>
          <w:numId w:val="2"/>
        </w:numPr>
        <w:spacing w:after="80" w:line="290"/>
      </w:pPr>
      <w:r>
        <w:t xml:space="preserve">Supported by a wider team, and its collective expertise</w:t>
      </w:r>
    </w:p>
    <w:p>
      <w:pPr>
        <w:pStyle w:val="ListParagraph"/>
        <w:numPr>
          <w:ilvl w:val="0"/>
          <w:numId w:val="2"/>
        </w:numPr>
        <w:spacing w:after="80" w:line="290"/>
      </w:pPr>
      <w:r>
        <w:t xml:space="preserve">The same resource available year on year where that is helpful</w:t>
      </w:r>
    </w:p>
    <w:p>
      <w:pPr>
        <w:pStyle w:val="ListParagraph"/>
        <w:numPr>
          <w:ilvl w:val="0"/>
          <w:numId w:val="2"/>
        </w:numPr>
        <w:spacing w:after="80" w:line="290"/>
      </w:pPr>
      <w:r>
        <w:t xml:space="preserve">Resource replaced quickly if required, which keeps risk low</w:t>
      </w:r>
    </w:p>
    <w:p>
      <w:pPr>
        <w:pStyle w:val="Heading1"/>
      </w:pPr>
      <w:r>
        <w:t xml:space="preserve">9. How it would work</w:t>
      </w:r>
    </w:p>
    <w:p>
      <w:pPr>
        <w:pStyle w:val="ListParagraph"/>
        <w:numPr>
          <w:ilvl w:val="0"/>
          <w:numId w:val="3"/>
        </w:numPr>
        <w:spacing w:after="100" w:line="290"/>
      </w:pPr>
      <w:r>
        <w:t xml:space="preserve">Engage Beyond Governance and confirm the scope of support</w:t>
      </w:r>
    </w:p>
    <w:p>
      <w:pPr>
        <w:pStyle w:val="ListParagraph"/>
        <w:numPr>
          <w:ilvl w:val="0"/>
          <w:numId w:val="3"/>
        </w:numPr>
        <w:spacing w:after="100" w:line="290"/>
      </w:pPr>
      <w:r>
        <w:t xml:space="preserve">Meet the recommended team member</w:t>
      </w:r>
    </w:p>
    <w:p>
      <w:pPr>
        <w:pStyle w:val="ListParagraph"/>
        <w:numPr>
          <w:ilvl w:val="0"/>
          <w:numId w:val="3"/>
        </w:numPr>
        <w:spacing w:after="100" w:line="290"/>
      </w:pPr>
      <w:r>
        <w:t xml:space="preserve">Deploy support within 48 to 72 hours</w:t>
      </w:r>
    </w:p>
    <w:p>
      <w:pPr>
        <w:spacing w:after="140" w:line="300"/>
      </w:pPr>
      <w:r>
        <w:t xml:space="preserve">Support integrates quickly and begins delivering immediately.</w:t>
      </w:r>
    </w:p>
    <w:p>
      <w:pPr>
        <w:pStyle w:val="Heading1"/>
      </w:pPr>
      <w:r>
        <w:t xml:space="preserve">10. Recommendation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8E2E36" w:sz="24"/>
              <w:bottom w:val="none" w:color="FFFFFF" w:sz="0"/>
              <w:right w:val="none" w:color="FFFFFF" w:sz="0"/>
            </w:tcBorders>
            <w:shd w:fill="F7EFE6" w:color="auto" w:val="clear"/>
            <w:tcMar>
              <w:top w:type="dxa" w:w="160"/>
              <w:left w:type="dxa" w:w="240"/>
              <w:bottom w:type="dxa" w:w="100"/>
              <w:right w:type="dxa" w:w="240"/>
            </w:tcMar>
          </w:tcPr>
          <w:p>
            <w:pPr>
              <w:spacing w:after="100"/>
            </w:pPr>
            <w:r>
              <w:rPr>
                <w:b/>
                <w:bCs/>
                <w:color w:val="8E2E36"/>
                <w:spacing w:val="40"/>
                <w:sz w:val="16"/>
                <w:szCs w:val="16"/>
              </w:rPr>
              <w:t xml:space="preserve">RECOMMENDATION</w:t>
            </w:r>
          </w:p>
          <w:p>
            <w:pPr>
              <w:spacing w:after="140" w:line="300"/>
            </w:pPr>
            <w:r>
              <w:t xml:space="preserve">Approve the engagement of Beyond Governance to provide flexible governance support. This ensures continuity, reduces risk and supports the team effectively.</w:t>
            </w:r>
          </w:p>
          <w:p>
            <w:pPr>
              <w:spacing w:after="140" w:line="300"/>
            </w:pPr>
            <w:r>
              <w:rPr>
                <w:b/>
                <w:bCs/>
                <w:color w:val="2B2220"/>
              </w:rPr>
              <w:t xml:space="preserve">Next step.</w:t>
            </w:r>
            <w:r>
              <w:t xml:space="preserve"> Arrange a call with Beyond Governance to confirm scope and timing.</w:t>
            </w:r>
          </w:p>
        </w:tc>
      </w:tr>
    </w:tbl>
    <w:p>
      <w:pPr>
        <w:spacing w:after="120"/>
      </w:pPr>
    </w:p>
    <w:sectPr>
      <w:footerReference w:type="default" r:id="rId6"/>
      <w:pgSz w:w="11906" w:h="16838" w:orient="portrait"/>
      <w:pgMar w:top="144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6CF" w:sz="4" w:space="6"/>
      </w:pBdr>
      <w:tabs>
        <w:tab w:val="right" w:pos="9026"/>
      </w:tabs>
    </w:pPr>
    <w:r>
      <w:rPr>
        <w:color w:val="7A6F69"/>
        <w:sz w:val="15"/>
        <w:szCs w:val="15"/>
      </w:rPr>
      <w:t xml:space="preserve">Template provided by Beyond Governance  ·  beyondgovernance.com</w:t>
    </w:r>
    <w:r>
      <w:rPr>
        <w:color w:val="7A6F6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rPr>
        <w:color w:val="8E2E36"/>
      </w:rPr>
    </w:lvl>
  </w:abstractNum>
  <w:abstractNum w:abstractNumId="3" w15:restartNumberingAfterBreak="0">
    <w:multiLevelType w:val="hybridMultilevel"/>
    <w:lvl w:ilvl="0" w:tentative="1">
      <w:start w:val="1"/>
      <w:numFmt w:val="decimal"/>
      <w:lvlText w:val="%1."/>
      <w:lvlJc w:val="left"/>
      <w:pPr>
        <w:ind w:left="540" w:hanging="360"/>
      </w:pPr>
      <w:rPr>
        <w:b/>
        <w:bCs/>
        <w:color w:val="8E2E36"/>
      </w:rPr>
    </w:lvl>
  </w:abstractNum>
  <w:abstractNum w:abstractNumId="4" w15:restartNumberingAfterBreak="0">
    <w:multiLevelType w:val="hybridMultilevel"/>
    <w:lvl w:ilvl="0" w:tentative="1">
      <w:start w:val="1"/>
      <w:numFmt w:val="decimal"/>
      <w:lvlText w:val="%1."/>
      <w:lvlJc w:val="left"/>
      <w:pPr>
        <w:ind w:left="540" w:hanging="360"/>
      </w:pPr>
      <w:rPr>
        <w:b/>
        <w:bCs/>
        <w:color w:val="8E2E36"/>
      </w:rPr>
    </w:lvl>
  </w:abstractNum>
  <w:abstractNum w:abstractNumId="5" w15:restartNumberingAfterBreak="0">
    <w:multiLevelType w:val="hybridMultilevel"/>
    <w:lvl w:ilvl="0" w:tentative="1">
      <w:start w:val="1"/>
      <w:numFmt w:val="decimal"/>
      <w:lvlText w:val="%1."/>
      <w:lvlJc w:val="left"/>
      <w:pPr>
        <w:ind w:left="540" w:hanging="360"/>
      </w:pPr>
      <w:rPr>
        <w:b/>
        <w:bCs/>
        <w:color w:val="8E2E36"/>
      </w:rPr>
    </w:lvl>
  </w:abstractNum>
  <w:abstractNum w:abstractNumId="6" w15:restartNumberingAfterBreak="0">
    <w:multiLevelType w:val="hybridMultilevel"/>
    <w:lvl w:ilvl="0" w:tentative="1">
      <w:start w:val="1"/>
      <w:numFmt w:val="decimal"/>
      <w:lvlText w:val="%1."/>
      <w:lvlJc w:val="left"/>
      <w:pPr>
        <w:ind w:left="540" w:hanging="360"/>
      </w:pPr>
      <w:rPr>
        <w:b/>
        <w:bCs/>
        <w:color w:val="8E2E36"/>
      </w:rPr>
    </w:lvl>
  </w:abstractNum>
  <w:abstractNum w:abstractNumId="7" w15:restartNumberingAfterBreak="0">
    <w:multiLevelType w:val="hybridMultilevel"/>
    <w:lvl w:ilvl="0" w:tentative="1">
      <w:start w:val="1"/>
      <w:numFmt w:val="decimal"/>
      <w:lvlText w:val="%1."/>
      <w:lvlJc w:val="left"/>
      <w:pPr>
        <w:ind w:left="540" w:hanging="360"/>
      </w:pPr>
      <w:rPr>
        <w:b/>
        <w:bCs/>
        <w:color w:val="8E2E36"/>
      </w:rPr>
    </w:lvl>
  </w:abstractNum>
  <w:abstractNum w:abstractNumId="8" w15:restartNumberingAfterBreak="0">
    <w:multiLevelType w:val="hybridMultilevel"/>
    <w:lvl w:ilvl="0" w:tentative="1">
      <w:start w:val="1"/>
      <w:numFmt w:val="decimal"/>
      <w:lvlText w:val="%1."/>
      <w:lvlJc w:val="left"/>
      <w:pPr>
        <w:ind w:left="540" w:hanging="360"/>
      </w:pPr>
      <w:rPr>
        <w:b/>
        <w:bCs/>
        <w:color w:val="8E2E3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A3230"/>
        <w:sz w:val="21"/>
        <w:szCs w:val="21"/>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Arial" w:cs="Arial" w:eastAsia="Arial" w:hAnsi="Arial"/>
      <w:b/>
      <w:bCs/>
      <w:color w:val="2B2220"/>
      <w:sz w:val="44"/>
      <w:szCs w:val="44"/>
    </w:rPr>
  </w:style>
  <w:style w:type="paragraph" w:styleId="Heading1">
    <w:name w:val="Heading 1"/>
    <w:basedOn w:val="Normal"/>
    <w:next w:val="Normal"/>
    <w:qFormat/>
    <w:pPr>
      <w:keepNext/>
      <w:spacing w:after="120" w:before="300"/>
      <w:outlineLvl w:val="0"/>
    </w:pPr>
    <w:rPr>
      <w:rFonts w:ascii="Arial" w:cs="Arial" w:eastAsia="Arial" w:hAnsi="Arial"/>
      <w:b/>
      <w:bCs/>
      <w:color w:val="2B2220"/>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Additional Governance Capacity</dc:title>
  <dc:creator>Beyond Governance</dc:creator>
  <cp:lastModifiedBy>Un-named</cp:lastModifiedBy>
  <cp:revision>1</cp:revision>
  <dcterms:created xsi:type="dcterms:W3CDTF">2026-10-30T09:21:44.933Z</dcterms:created>
  <dcterms:modified xsi:type="dcterms:W3CDTF">2026-10-30T09:21:44.934Z</dcterms:modified>
</cp:coreProperties>
</file>

<file path=docProps/custom.xml><?xml version="1.0" encoding="utf-8"?>
<Properties xmlns="http://schemas.openxmlformats.org/officeDocument/2006/custom-properties" xmlns:vt="http://schemas.openxmlformats.org/officeDocument/2006/docPropsVTypes"/>
</file>