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543946" w14:textId="77777777" w:rsidR="00C10B78" w:rsidRDefault="00000000">
      <w:pPr>
        <w:pStyle w:val="Title"/>
        <w:spacing w:after="80"/>
      </w:pPr>
      <w:r>
        <w:t>Risk Register Wording</w:t>
      </w:r>
    </w:p>
    <w:p w14:paraId="0C26273F" w14:textId="77777777" w:rsidR="00C10B78" w:rsidRDefault="00000000">
      <w:pPr>
        <w:pBdr>
          <w:bottom w:val="single" w:sz="12" w:space="10" w:color="8E2E36"/>
        </w:pBdr>
        <w:spacing w:after="320"/>
      </w:pPr>
      <w:r>
        <w:rPr>
          <w:color w:val="7A6F69"/>
          <w:sz w:val="24"/>
          <w:szCs w:val="24"/>
        </w:rPr>
        <w:t>Recording governance capacity as a formal, managed risk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C10B78" w14:paraId="52EF4312" w14:textId="77777777">
        <w:tblPrEx>
          <w:tblCellMar>
            <w:top w:w="0" w:type="dxa"/>
            <w:bottom w:w="0" w:type="dxa"/>
          </w:tblCellMar>
        </w:tblPrEx>
        <w:trPr>
          <w:cantSplit/>
        </w:trPr>
        <w:tc>
          <w:tcPr>
            <w:tcW w:w="9026" w:type="dxa"/>
            <w:tcBorders>
              <w:top w:val="none" w:sz="0" w:space="0" w:color="FFFFFF"/>
              <w:left w:val="single" w:sz="24" w:space="0" w:color="B5ADA6"/>
              <w:bottom w:val="none" w:sz="0" w:space="0" w:color="FFFFFF"/>
              <w:right w:val="none" w:sz="0" w:space="0" w:color="FFFFFF"/>
            </w:tcBorders>
            <w:shd w:val="clear" w:color="auto" w:fill="F3F1EE"/>
            <w:tcMar>
              <w:top w:w="160" w:type="dxa"/>
              <w:left w:w="240" w:type="dxa"/>
              <w:bottom w:w="100" w:type="dxa"/>
              <w:right w:w="240" w:type="dxa"/>
            </w:tcMar>
          </w:tcPr>
          <w:p w14:paraId="2EBC5642" w14:textId="77777777" w:rsidR="00C10B78" w:rsidRDefault="00000000">
            <w:pPr>
              <w:spacing w:after="100"/>
            </w:pPr>
            <w:r>
              <w:rPr>
                <w:b/>
                <w:bCs/>
                <w:color w:val="7A6F69"/>
                <w:spacing w:val="40"/>
                <w:sz w:val="16"/>
                <w:szCs w:val="16"/>
              </w:rPr>
              <w:t xml:space="preserve">HOW TO USE THIS </w:t>
            </w:r>
            <w:proofErr w:type="gramStart"/>
            <w:r>
              <w:rPr>
                <w:b/>
                <w:bCs/>
                <w:color w:val="7A6F69"/>
                <w:spacing w:val="40"/>
                <w:sz w:val="16"/>
                <w:szCs w:val="16"/>
              </w:rPr>
              <w:t>WORDING  ·</w:t>
            </w:r>
            <w:proofErr w:type="gramEnd"/>
            <w:r>
              <w:rPr>
                <w:b/>
                <w:bCs/>
                <w:color w:val="7A6F69"/>
                <w:spacing w:val="40"/>
                <w:sz w:val="16"/>
                <w:szCs w:val="16"/>
              </w:rPr>
              <w:t xml:space="preserve">  DELETE BEFORE SHARING</w:t>
            </w:r>
          </w:p>
          <w:p w14:paraId="0A45E890" w14:textId="77777777" w:rsidR="00C10B78" w:rsidRDefault="00000000">
            <w:pPr>
              <w:spacing w:after="140" w:line="300" w:lineRule="auto"/>
            </w:pPr>
            <w:r>
              <w:t>Governance capacity rarely appears on the risk register. It should. When the function depends on a small number of people, the organisation carries an unmanaged risk to compliance, continuity and Board assurance.</w:t>
            </w:r>
          </w:p>
          <w:p w14:paraId="36F793D6" w14:textId="77777777" w:rsidR="00C10B78" w:rsidRDefault="00000000">
            <w:pPr>
              <w:spacing w:after="140" w:line="300" w:lineRule="auto"/>
            </w:pPr>
            <w:r>
              <w:t>The wording below is written to drop straight into a standard risk register. Adjust the bracketed fields, the ratings and the owner to reflect your own framework.</w:t>
            </w:r>
          </w:p>
        </w:tc>
      </w:tr>
    </w:tbl>
    <w:p w14:paraId="3FECEA92" w14:textId="77777777" w:rsidR="00C10B78" w:rsidRDefault="00C10B78">
      <w:pPr>
        <w:spacing w:after="120"/>
      </w:pPr>
    </w:p>
    <w:p w14:paraId="7EEFC57E" w14:textId="77777777" w:rsidR="00C10B78" w:rsidRDefault="00000000">
      <w:pPr>
        <w:pStyle w:val="Heading1"/>
      </w:pPr>
      <w:r>
        <w:t>Suggested risk entry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C10B78" w14:paraId="59028809" w14:textId="77777777">
        <w:tblPrEx>
          <w:tblCellMar>
            <w:top w:w="0" w:type="dxa"/>
            <w:bottom w:w="0" w:type="dxa"/>
          </w:tblCellMar>
        </w:tblPrEx>
        <w:trPr>
          <w:cantSplit/>
        </w:trPr>
        <w:tc>
          <w:tcPr>
            <w:tcW w:w="9026" w:type="dxa"/>
            <w:tcBorders>
              <w:top w:val="none" w:sz="0" w:space="0" w:color="FFFFFF"/>
              <w:left w:val="single" w:sz="24" w:space="0" w:color="B5ADA6"/>
              <w:bottom w:val="none" w:sz="0" w:space="0" w:color="FFFFFF"/>
              <w:right w:val="none" w:sz="0" w:space="0" w:color="FFFFFF"/>
            </w:tcBorders>
            <w:shd w:val="clear" w:color="auto" w:fill="F3F1EE"/>
            <w:tcMar>
              <w:top w:w="160" w:type="dxa"/>
              <w:left w:w="240" w:type="dxa"/>
              <w:bottom w:w="100" w:type="dxa"/>
              <w:right w:w="240" w:type="dxa"/>
            </w:tcMar>
          </w:tcPr>
          <w:p w14:paraId="4F786689" w14:textId="77777777" w:rsidR="00C10B78" w:rsidRDefault="00000000">
            <w:pPr>
              <w:spacing w:after="60"/>
            </w:pPr>
            <w:r>
              <w:rPr>
                <w:i/>
                <w:iCs/>
                <w:color w:val="7A6F69"/>
                <w:sz w:val="19"/>
                <w:szCs w:val="19"/>
              </w:rPr>
              <w:t>Guidance: A full entry, structured to suit most risk register formats. Use the fields your framework requires and remove the rest.</w:t>
            </w:r>
          </w:p>
        </w:tc>
      </w:tr>
    </w:tbl>
    <w:p w14:paraId="51299B2F" w14:textId="77777777" w:rsidR="00C10B78" w:rsidRDefault="00C10B78">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426"/>
      </w:tblGrid>
      <w:tr w:rsidR="00C10B78" w14:paraId="188B735A"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443332B7" w14:textId="77777777" w:rsidR="00C10B78" w:rsidRDefault="00000000">
            <w:r>
              <w:rPr>
                <w:b/>
                <w:bCs/>
                <w:color w:val="2B2220"/>
              </w:rPr>
              <w:t>Risk reference</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7B2D6BBF" w14:textId="77777777" w:rsidR="00C10B78" w:rsidRDefault="00000000">
            <w:pPr>
              <w:spacing w:line="280" w:lineRule="auto"/>
            </w:pPr>
            <w:r>
              <w:rPr>
                <w:b/>
                <w:bCs/>
                <w:color w:val="8E2E36"/>
              </w:rPr>
              <w:t>[GOV-01]</w:t>
            </w:r>
          </w:p>
        </w:tc>
      </w:tr>
      <w:tr w:rsidR="00C10B78" w14:paraId="35D11807"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38D50C00" w14:textId="77777777" w:rsidR="00C10B78" w:rsidRDefault="00000000">
            <w:r>
              <w:rPr>
                <w:b/>
                <w:bCs/>
                <w:color w:val="2B2220"/>
              </w:rPr>
              <w:t>Risk title</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603A40B4" w14:textId="77777777" w:rsidR="00C10B78" w:rsidRDefault="00000000">
            <w:pPr>
              <w:spacing w:line="280" w:lineRule="auto"/>
            </w:pPr>
            <w:r>
              <w:t>Insufficient governance and company secretarial capacity</w:t>
            </w:r>
          </w:p>
        </w:tc>
      </w:tr>
      <w:tr w:rsidR="00C10B78" w14:paraId="2AFDC0BB"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319387D4" w14:textId="77777777" w:rsidR="00C10B78" w:rsidRDefault="00000000">
            <w:r>
              <w:rPr>
                <w:b/>
                <w:bCs/>
                <w:color w:val="2B2220"/>
              </w:rPr>
              <w:t>Risk category</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03CEAE34" w14:textId="77777777" w:rsidR="00C10B78" w:rsidRDefault="00000000">
            <w:pPr>
              <w:spacing w:line="280" w:lineRule="auto"/>
            </w:pPr>
            <w:r>
              <w:t>Governance / Compliance / Operational</w:t>
            </w:r>
          </w:p>
        </w:tc>
      </w:tr>
      <w:tr w:rsidR="00C10B78" w14:paraId="13B4E2E5"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63D7967B" w14:textId="77777777" w:rsidR="00C10B78" w:rsidRDefault="00000000">
            <w:r>
              <w:rPr>
                <w:b/>
                <w:bCs/>
                <w:color w:val="2B2220"/>
              </w:rPr>
              <w:t>Risk description</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60B4D0A3" w14:textId="77777777" w:rsidR="00C10B78" w:rsidRDefault="00000000">
            <w:pPr>
              <w:spacing w:line="280" w:lineRule="auto"/>
            </w:pPr>
            <w:r>
              <w:t>The governance and company secretarial function operates at or beyond capacity. It has limited resilience to absorb absence, peak activity or additional demand. Delivery depends on a small number of individuals.</w:t>
            </w:r>
          </w:p>
        </w:tc>
      </w:tr>
      <w:tr w:rsidR="00C10B78" w14:paraId="725BDEE8"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1D713154" w14:textId="77777777" w:rsidR="00C10B78" w:rsidRDefault="00000000">
            <w:r>
              <w:rPr>
                <w:b/>
                <w:bCs/>
                <w:color w:val="2B2220"/>
              </w:rPr>
              <w:t>Causes</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1A7E1798" w14:textId="77777777" w:rsidR="00C10B78" w:rsidRDefault="00000000">
            <w:pPr>
              <w:spacing w:line="280" w:lineRule="auto"/>
            </w:pPr>
            <w:r>
              <w:t>Growth in the volume and complexity of governance requirements. Resource that has not scaled with demand. Concentration of knowledge and delivery in key individuals.</w:t>
            </w:r>
          </w:p>
        </w:tc>
      </w:tr>
      <w:tr w:rsidR="00C10B78" w14:paraId="604EE0E3"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49836F6E" w14:textId="77777777" w:rsidR="00C10B78" w:rsidRDefault="00000000">
            <w:r>
              <w:rPr>
                <w:b/>
                <w:bCs/>
                <w:color w:val="2B2220"/>
              </w:rPr>
              <w:t>Potential impact</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5256A042" w14:textId="77777777" w:rsidR="00C10B78" w:rsidRDefault="00000000">
            <w:pPr>
              <w:spacing w:line="280" w:lineRule="auto"/>
            </w:pPr>
            <w:r>
              <w:t>Delay or error in statutory and regulatory filings. Reduced quality of Board and Committee support. Loss of corporate knowledge if a key individual is absent or leaves. Reduced confidence at Board level. Slower delivery of transactions and strategic initiatives.</w:t>
            </w:r>
          </w:p>
        </w:tc>
      </w:tr>
      <w:tr w:rsidR="00C10B78" w14:paraId="7B7EB0FE"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4D16474B" w14:textId="77777777" w:rsidR="00C10B78" w:rsidRDefault="00000000">
            <w:r>
              <w:rPr>
                <w:b/>
                <w:bCs/>
                <w:color w:val="2B2220"/>
              </w:rPr>
              <w:t>Inherent risk rating</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6AB9F87D" w14:textId="77777777" w:rsidR="00C10B78" w:rsidRDefault="00000000">
            <w:pPr>
              <w:spacing w:line="280" w:lineRule="auto"/>
            </w:pPr>
            <w:r>
              <w:t xml:space="preserve">Likelihood </w:t>
            </w:r>
            <w:proofErr w:type="gramStart"/>
            <w:r>
              <w:rPr>
                <w:b/>
                <w:bCs/>
                <w:color w:val="8E2E36"/>
              </w:rPr>
              <w:t>[  ]</w:t>
            </w:r>
            <w:proofErr w:type="gramEnd"/>
            <w:r>
              <w:t xml:space="preserve"> x Impact </w:t>
            </w:r>
            <w:proofErr w:type="gramStart"/>
            <w:r>
              <w:rPr>
                <w:b/>
                <w:bCs/>
                <w:color w:val="8E2E36"/>
              </w:rPr>
              <w:t>[  ]</w:t>
            </w:r>
            <w:proofErr w:type="gramEnd"/>
            <w:r>
              <w:t xml:space="preserve"> = </w:t>
            </w:r>
            <w:proofErr w:type="gramStart"/>
            <w:r>
              <w:rPr>
                <w:b/>
                <w:bCs/>
                <w:color w:val="8E2E36"/>
              </w:rPr>
              <w:t>[  ]</w:t>
            </w:r>
            <w:proofErr w:type="gramEnd"/>
          </w:p>
        </w:tc>
      </w:tr>
      <w:tr w:rsidR="00C10B78" w14:paraId="27A847FE"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4658FB75" w14:textId="77777777" w:rsidR="00C10B78" w:rsidRDefault="00000000">
            <w:r>
              <w:rPr>
                <w:b/>
                <w:bCs/>
                <w:color w:val="2B2220"/>
              </w:rPr>
              <w:t>Current controls</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5EB382A8" w14:textId="77777777" w:rsidR="00C10B78" w:rsidRDefault="00000000">
            <w:pPr>
              <w:spacing w:line="280" w:lineRule="auto"/>
            </w:pPr>
            <w:r>
              <w:t>Experienced team in place. Established processes and a governance calendar. Ad hoc reprioritisation during peak periods.</w:t>
            </w:r>
          </w:p>
        </w:tc>
      </w:tr>
      <w:tr w:rsidR="00C10B78" w14:paraId="34437B38"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7DDE9065" w14:textId="77777777" w:rsidR="00C10B78" w:rsidRDefault="00000000">
            <w:r>
              <w:rPr>
                <w:b/>
                <w:bCs/>
                <w:color w:val="2B2220"/>
              </w:rPr>
              <w:t>Further mitigating actions</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5E566A93" w14:textId="77777777" w:rsidR="00C10B78" w:rsidRDefault="00000000">
            <w:pPr>
              <w:spacing w:line="280" w:lineRule="auto"/>
            </w:pPr>
            <w:r>
              <w:t>Engage flexible governance support, CoSec-on-Demand, to provide resilience and cover. Document and cross train on key processes. Review permanent resourcing at the next planning cycle.</w:t>
            </w:r>
          </w:p>
        </w:tc>
      </w:tr>
      <w:tr w:rsidR="00C10B78" w14:paraId="5484DCB2"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1BDAE9D0" w14:textId="77777777" w:rsidR="00C10B78" w:rsidRDefault="00000000">
            <w:r>
              <w:rPr>
                <w:b/>
                <w:bCs/>
                <w:color w:val="2B2220"/>
              </w:rPr>
              <w:t>Target / residual rating</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38489B91" w14:textId="77777777" w:rsidR="00C10B78" w:rsidRDefault="00000000">
            <w:pPr>
              <w:spacing w:line="280" w:lineRule="auto"/>
            </w:pPr>
            <w:r>
              <w:t xml:space="preserve">Likelihood </w:t>
            </w:r>
            <w:proofErr w:type="gramStart"/>
            <w:r>
              <w:rPr>
                <w:b/>
                <w:bCs/>
                <w:color w:val="8E2E36"/>
              </w:rPr>
              <w:t>[  ]</w:t>
            </w:r>
            <w:proofErr w:type="gramEnd"/>
            <w:r>
              <w:t xml:space="preserve"> x Impact </w:t>
            </w:r>
            <w:proofErr w:type="gramStart"/>
            <w:r>
              <w:rPr>
                <w:b/>
                <w:bCs/>
                <w:color w:val="8E2E36"/>
              </w:rPr>
              <w:t>[  ]</w:t>
            </w:r>
            <w:proofErr w:type="gramEnd"/>
            <w:r>
              <w:t xml:space="preserve"> = </w:t>
            </w:r>
            <w:proofErr w:type="gramStart"/>
            <w:r>
              <w:rPr>
                <w:b/>
                <w:bCs/>
                <w:color w:val="8E2E36"/>
              </w:rPr>
              <w:t>[  ]</w:t>
            </w:r>
            <w:proofErr w:type="gramEnd"/>
          </w:p>
        </w:tc>
      </w:tr>
      <w:tr w:rsidR="00C10B78" w14:paraId="58304ABA"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08137C66" w14:textId="77777777" w:rsidR="00C10B78" w:rsidRDefault="00000000">
            <w:r>
              <w:rPr>
                <w:b/>
                <w:bCs/>
                <w:color w:val="2B2220"/>
              </w:rPr>
              <w:lastRenderedPageBreak/>
              <w:t>Risk owner</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6E97FF76" w14:textId="77777777" w:rsidR="00C10B78" w:rsidRDefault="00000000">
            <w:pPr>
              <w:spacing w:line="280" w:lineRule="auto"/>
            </w:pPr>
            <w:r>
              <w:rPr>
                <w:b/>
                <w:bCs/>
                <w:color w:val="8E2E36"/>
              </w:rPr>
              <w:t>[Name, role. Typically the Company Secretary or General Counsel]</w:t>
            </w:r>
          </w:p>
        </w:tc>
      </w:tr>
      <w:tr w:rsidR="00C10B78" w14:paraId="77229BF8"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4FAF9AF6" w14:textId="77777777" w:rsidR="00C10B78" w:rsidRDefault="00000000">
            <w:r>
              <w:rPr>
                <w:b/>
                <w:bCs/>
                <w:color w:val="2B2220"/>
              </w:rPr>
              <w:t>Review frequency</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1ED89D98" w14:textId="77777777" w:rsidR="00C10B78" w:rsidRDefault="00000000">
            <w:pPr>
              <w:spacing w:line="280" w:lineRule="auto"/>
            </w:pPr>
            <w:r>
              <w:rPr>
                <w:b/>
                <w:bCs/>
                <w:color w:val="8E2E36"/>
              </w:rPr>
              <w:t>[Quarterly]</w:t>
            </w:r>
          </w:p>
        </w:tc>
      </w:tr>
    </w:tbl>
    <w:p w14:paraId="05C66B70" w14:textId="77777777" w:rsidR="00C10B78" w:rsidRDefault="00C10B78">
      <w:pPr>
        <w:spacing w:after="120"/>
      </w:pPr>
    </w:p>
    <w:p w14:paraId="28146235" w14:textId="77777777" w:rsidR="00C10B78" w:rsidRDefault="00000000">
      <w:pPr>
        <w:pStyle w:val="Heading1"/>
      </w:pPr>
      <w:r>
        <w:t>Short form wording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C10B78" w14:paraId="294F0493" w14:textId="77777777">
        <w:tblPrEx>
          <w:tblCellMar>
            <w:top w:w="0" w:type="dxa"/>
            <w:bottom w:w="0" w:type="dxa"/>
          </w:tblCellMar>
        </w:tblPrEx>
        <w:trPr>
          <w:cantSplit/>
        </w:trPr>
        <w:tc>
          <w:tcPr>
            <w:tcW w:w="9026" w:type="dxa"/>
            <w:tcBorders>
              <w:top w:val="none" w:sz="0" w:space="0" w:color="FFFFFF"/>
              <w:left w:val="single" w:sz="24" w:space="0" w:color="B5ADA6"/>
              <w:bottom w:val="none" w:sz="0" w:space="0" w:color="FFFFFF"/>
              <w:right w:val="none" w:sz="0" w:space="0" w:color="FFFFFF"/>
            </w:tcBorders>
            <w:shd w:val="clear" w:color="auto" w:fill="F3F1EE"/>
            <w:tcMar>
              <w:top w:w="160" w:type="dxa"/>
              <w:left w:w="240" w:type="dxa"/>
              <w:bottom w:w="100" w:type="dxa"/>
              <w:right w:w="240" w:type="dxa"/>
            </w:tcMar>
          </w:tcPr>
          <w:p w14:paraId="31085FC6" w14:textId="77777777" w:rsidR="00C10B78" w:rsidRDefault="00000000">
            <w:pPr>
              <w:spacing w:after="60"/>
            </w:pPr>
            <w:r>
              <w:rPr>
                <w:i/>
                <w:iCs/>
                <w:color w:val="7A6F69"/>
                <w:sz w:val="19"/>
                <w:szCs w:val="19"/>
              </w:rPr>
              <w:t>Guidance: A concise version for summary registers, or for a Board or Committee dashboard.</w:t>
            </w:r>
          </w:p>
        </w:tc>
      </w:tr>
    </w:tbl>
    <w:p w14:paraId="576F467B" w14:textId="77777777" w:rsidR="00C10B78" w:rsidRDefault="00C10B78">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C10B78" w14:paraId="4A7F1C9F" w14:textId="77777777">
        <w:tblPrEx>
          <w:tblCellMar>
            <w:top w:w="0" w:type="dxa"/>
            <w:bottom w:w="0" w:type="dxa"/>
          </w:tblCellMar>
        </w:tblPrEx>
        <w:trPr>
          <w:cantSplit/>
        </w:trPr>
        <w:tc>
          <w:tcPr>
            <w:tcW w:w="9026" w:type="dxa"/>
            <w:tcBorders>
              <w:top w:val="none" w:sz="0" w:space="0" w:color="FFFFFF"/>
              <w:left w:val="single" w:sz="24" w:space="0" w:color="8E2E36"/>
              <w:bottom w:val="none" w:sz="0" w:space="0" w:color="FFFFFF"/>
              <w:right w:val="none" w:sz="0" w:space="0" w:color="FFFFFF"/>
            </w:tcBorders>
            <w:shd w:val="clear" w:color="auto" w:fill="F7EFE6"/>
            <w:tcMar>
              <w:top w:w="160" w:type="dxa"/>
              <w:left w:w="240" w:type="dxa"/>
              <w:bottom w:w="100" w:type="dxa"/>
              <w:right w:w="240" w:type="dxa"/>
            </w:tcMar>
          </w:tcPr>
          <w:p w14:paraId="62EFB6AC" w14:textId="77777777" w:rsidR="00C10B78" w:rsidRDefault="00000000">
            <w:pPr>
              <w:spacing w:after="100"/>
            </w:pPr>
            <w:r>
              <w:rPr>
                <w:b/>
                <w:bCs/>
                <w:color w:val="8E2E36"/>
                <w:spacing w:val="40"/>
                <w:sz w:val="16"/>
                <w:szCs w:val="16"/>
              </w:rPr>
              <w:t>RISK</w:t>
            </w:r>
          </w:p>
          <w:p w14:paraId="213FC418" w14:textId="77777777" w:rsidR="00C10B78" w:rsidRDefault="00000000">
            <w:pPr>
              <w:spacing w:after="140" w:line="300" w:lineRule="auto"/>
            </w:pPr>
            <w:r>
              <w:rPr>
                <w:b/>
                <w:bCs/>
                <w:color w:val="2B2220"/>
              </w:rPr>
              <w:t>Governance capacity.</w:t>
            </w:r>
            <w:r>
              <w:t xml:space="preserve"> The governance and company secretarial function operates at full capacity, with delivery concentrated in a small number of individuals. Absence, attrition or a spike in demand could disrupt statutory compliance, Board support and the delivery of key initiatives.</w:t>
            </w:r>
          </w:p>
          <w:p w14:paraId="26529DDE" w14:textId="77777777" w:rsidR="00C10B78" w:rsidRDefault="00000000">
            <w:pPr>
              <w:spacing w:after="140" w:line="300" w:lineRule="auto"/>
            </w:pPr>
            <w:r>
              <w:rPr>
                <w:b/>
                <w:bCs/>
                <w:color w:val="2B2220"/>
              </w:rPr>
              <w:t>Mitigation.</w:t>
            </w:r>
            <w:r>
              <w:t xml:space="preserve"> Flexible governance support engaged on demand to provide cover and resilience, alongside cross training on key processes and a review of permanent resourcing.</w:t>
            </w:r>
          </w:p>
        </w:tc>
      </w:tr>
    </w:tbl>
    <w:p w14:paraId="0979EAD7" w14:textId="77777777" w:rsidR="00C10B78" w:rsidRDefault="00C10B78">
      <w:pPr>
        <w:spacing w:after="120"/>
      </w:pPr>
    </w:p>
    <w:p w14:paraId="2532DCE0" w14:textId="77777777" w:rsidR="00C10B78" w:rsidRDefault="00000000">
      <w:pPr>
        <w:pStyle w:val="Heading1"/>
      </w:pPr>
      <w:r>
        <w:t>Mitigation options</w:t>
      </w:r>
    </w:p>
    <w:p w14:paraId="2B503BA4" w14:textId="77777777" w:rsidR="00C10B78" w:rsidRDefault="00000000">
      <w:pPr>
        <w:spacing w:after="140" w:line="300" w:lineRule="auto"/>
      </w:pPr>
      <w:r>
        <w:t>Most registers ask for the mitigation, and for the options considered. The wording below sets out three, in the order organisations usually weigh them.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37"/>
        <w:gridCol w:w="2708"/>
        <w:gridCol w:w="3881"/>
      </w:tblGrid>
      <w:tr w:rsidR="00C10B78" w14:paraId="732D0BCF" w14:textId="77777777">
        <w:tblPrEx>
          <w:tblCellMar>
            <w:top w:w="0" w:type="dxa"/>
            <w:bottom w:w="0" w:type="dxa"/>
          </w:tblCellMar>
        </w:tblPrEx>
        <w:trPr>
          <w:tblHeader/>
        </w:trPr>
        <w:tc>
          <w:tcPr>
            <w:tcW w:w="2437" w:type="dxa"/>
            <w:tcBorders>
              <w:top w:val="none" w:sz="0" w:space="0" w:color="FFFFFF"/>
              <w:left w:val="none" w:sz="0" w:space="0" w:color="FFFFFF"/>
              <w:bottom w:val="none" w:sz="0" w:space="0" w:color="FFFFFF"/>
              <w:right w:val="none" w:sz="0" w:space="0" w:color="FFFFFF"/>
            </w:tcBorders>
            <w:shd w:val="clear" w:color="auto" w:fill="2B2220"/>
            <w:tcMar>
              <w:top w:w="80" w:type="dxa"/>
              <w:left w:w="120" w:type="dxa"/>
              <w:bottom w:w="80" w:type="dxa"/>
              <w:right w:w="120" w:type="dxa"/>
            </w:tcMar>
          </w:tcPr>
          <w:p w14:paraId="400CDA3F" w14:textId="77777777" w:rsidR="00C10B78" w:rsidRDefault="00000000">
            <w:r>
              <w:rPr>
                <w:b/>
                <w:bCs/>
                <w:color w:val="FFFFFF"/>
                <w:sz w:val="18"/>
                <w:szCs w:val="18"/>
              </w:rPr>
              <w:t>Option</w:t>
            </w:r>
          </w:p>
        </w:tc>
        <w:tc>
          <w:tcPr>
            <w:tcW w:w="2708" w:type="dxa"/>
            <w:tcBorders>
              <w:top w:val="none" w:sz="0" w:space="0" w:color="FFFFFF"/>
              <w:left w:val="none" w:sz="0" w:space="0" w:color="FFFFFF"/>
              <w:bottom w:val="none" w:sz="0" w:space="0" w:color="FFFFFF"/>
              <w:right w:val="none" w:sz="0" w:space="0" w:color="FFFFFF"/>
            </w:tcBorders>
            <w:shd w:val="clear" w:color="auto" w:fill="2B2220"/>
            <w:tcMar>
              <w:top w:w="80" w:type="dxa"/>
              <w:left w:w="120" w:type="dxa"/>
              <w:bottom w:w="80" w:type="dxa"/>
              <w:right w:w="120" w:type="dxa"/>
            </w:tcMar>
          </w:tcPr>
          <w:p w14:paraId="481D6A4B" w14:textId="77777777" w:rsidR="00C10B78" w:rsidRDefault="00000000">
            <w:r>
              <w:rPr>
                <w:b/>
                <w:bCs/>
                <w:color w:val="FFFFFF"/>
                <w:sz w:val="18"/>
                <w:szCs w:val="18"/>
              </w:rPr>
              <w:t>Description</w:t>
            </w:r>
          </w:p>
        </w:tc>
        <w:tc>
          <w:tcPr>
            <w:tcW w:w="3881" w:type="dxa"/>
            <w:tcBorders>
              <w:top w:val="none" w:sz="0" w:space="0" w:color="FFFFFF"/>
              <w:left w:val="none" w:sz="0" w:space="0" w:color="FFFFFF"/>
              <w:bottom w:val="none" w:sz="0" w:space="0" w:color="FFFFFF"/>
              <w:right w:val="none" w:sz="0" w:space="0" w:color="FFFFFF"/>
            </w:tcBorders>
            <w:shd w:val="clear" w:color="auto" w:fill="2B2220"/>
            <w:tcMar>
              <w:top w:w="80" w:type="dxa"/>
              <w:left w:w="120" w:type="dxa"/>
              <w:bottom w:w="80" w:type="dxa"/>
              <w:right w:w="120" w:type="dxa"/>
            </w:tcMar>
          </w:tcPr>
          <w:p w14:paraId="2B839D0F" w14:textId="77777777" w:rsidR="00C10B78" w:rsidRDefault="00000000">
            <w:r>
              <w:rPr>
                <w:b/>
                <w:bCs/>
                <w:color w:val="FFFFFF"/>
                <w:sz w:val="18"/>
                <w:szCs w:val="18"/>
              </w:rPr>
              <w:t>Considerations</w:t>
            </w:r>
          </w:p>
        </w:tc>
      </w:tr>
      <w:tr w:rsidR="00C10B78" w14:paraId="6ABCB069" w14:textId="77777777">
        <w:tblPrEx>
          <w:tblCellMar>
            <w:top w:w="0" w:type="dxa"/>
            <w:bottom w:w="0" w:type="dxa"/>
          </w:tblCellMar>
        </w:tblPrEx>
        <w:trPr>
          <w:cantSplit/>
        </w:trPr>
        <w:tc>
          <w:tcPr>
            <w:tcW w:w="2437" w:type="dxa"/>
            <w:tcBorders>
              <w:top w:val="none" w:sz="0" w:space="0" w:color="FFFFFF"/>
              <w:left w:val="none" w:sz="0" w:space="0" w:color="FFFFFF"/>
              <w:bottom w:val="single" w:sz="4" w:space="0" w:color="DDD6CF"/>
              <w:right w:val="none" w:sz="0" w:space="0" w:color="FFFFFF"/>
            </w:tcBorders>
            <w:tcMar>
              <w:top w:w="90" w:type="dxa"/>
              <w:left w:w="120" w:type="dxa"/>
              <w:bottom w:w="90" w:type="dxa"/>
              <w:right w:w="120" w:type="dxa"/>
            </w:tcMar>
          </w:tcPr>
          <w:p w14:paraId="222AE95B" w14:textId="77777777" w:rsidR="00C10B78" w:rsidRDefault="00000000">
            <w:pPr>
              <w:spacing w:line="270" w:lineRule="auto"/>
            </w:pPr>
            <w:r>
              <w:rPr>
                <w:b/>
                <w:bCs/>
                <w:color w:val="2B2220"/>
                <w:sz w:val="19"/>
                <w:szCs w:val="19"/>
              </w:rPr>
              <w:t>Do nothing</w:t>
            </w:r>
          </w:p>
        </w:tc>
        <w:tc>
          <w:tcPr>
            <w:tcW w:w="2708" w:type="dxa"/>
            <w:tcBorders>
              <w:top w:val="none" w:sz="0" w:space="0" w:color="FFFFFF"/>
              <w:left w:val="none" w:sz="0" w:space="0" w:color="FFFFFF"/>
              <w:bottom w:val="single" w:sz="4" w:space="0" w:color="DDD6CF"/>
              <w:right w:val="none" w:sz="0" w:space="0" w:color="FFFFFF"/>
            </w:tcBorders>
            <w:tcMar>
              <w:top w:w="90" w:type="dxa"/>
              <w:left w:w="120" w:type="dxa"/>
              <w:bottom w:w="90" w:type="dxa"/>
              <w:right w:w="120" w:type="dxa"/>
            </w:tcMar>
          </w:tcPr>
          <w:p w14:paraId="634703C6" w14:textId="77777777" w:rsidR="00C10B78" w:rsidRDefault="00000000">
            <w:pPr>
              <w:spacing w:line="270" w:lineRule="auto"/>
            </w:pPr>
            <w:r>
              <w:rPr>
                <w:sz w:val="19"/>
                <w:szCs w:val="19"/>
              </w:rPr>
              <w:t>Continue with current resource.</w:t>
            </w:r>
          </w:p>
        </w:tc>
        <w:tc>
          <w:tcPr>
            <w:tcW w:w="3881" w:type="dxa"/>
            <w:tcBorders>
              <w:top w:val="none" w:sz="0" w:space="0" w:color="FFFFFF"/>
              <w:left w:val="none" w:sz="0" w:space="0" w:color="FFFFFF"/>
              <w:bottom w:val="single" w:sz="4" w:space="0" w:color="DDD6CF"/>
              <w:right w:val="none" w:sz="0" w:space="0" w:color="FFFFFF"/>
            </w:tcBorders>
            <w:tcMar>
              <w:top w:w="90" w:type="dxa"/>
              <w:left w:w="120" w:type="dxa"/>
              <w:bottom w:w="90" w:type="dxa"/>
              <w:right w:w="120" w:type="dxa"/>
            </w:tcMar>
          </w:tcPr>
          <w:p w14:paraId="3668BA37" w14:textId="77777777" w:rsidR="00C10B78" w:rsidRDefault="00000000">
            <w:pPr>
              <w:spacing w:line="270" w:lineRule="auto"/>
            </w:pPr>
            <w:r>
              <w:rPr>
                <w:sz w:val="19"/>
                <w:szCs w:val="19"/>
              </w:rPr>
              <w:t>Lowest immediate cost. Risk remains unmitigated and tends to rise with demand.</w:t>
            </w:r>
          </w:p>
        </w:tc>
      </w:tr>
      <w:tr w:rsidR="00C10B78" w14:paraId="4738799D" w14:textId="77777777">
        <w:tblPrEx>
          <w:tblCellMar>
            <w:top w:w="0" w:type="dxa"/>
            <w:bottom w:w="0" w:type="dxa"/>
          </w:tblCellMar>
        </w:tblPrEx>
        <w:trPr>
          <w:cantSplit/>
        </w:trPr>
        <w:tc>
          <w:tcPr>
            <w:tcW w:w="2437" w:type="dxa"/>
            <w:tcBorders>
              <w:top w:val="none" w:sz="0" w:space="0" w:color="FFFFFF"/>
              <w:left w:val="none" w:sz="0" w:space="0" w:color="FFFFFF"/>
              <w:bottom w:val="single" w:sz="4" w:space="0" w:color="DDD6CF"/>
              <w:right w:val="none" w:sz="0" w:space="0" w:color="FFFFFF"/>
            </w:tcBorders>
            <w:tcMar>
              <w:top w:w="90" w:type="dxa"/>
              <w:left w:w="120" w:type="dxa"/>
              <w:bottom w:w="90" w:type="dxa"/>
              <w:right w:w="120" w:type="dxa"/>
            </w:tcMar>
          </w:tcPr>
          <w:p w14:paraId="63C8A394" w14:textId="77777777" w:rsidR="00C10B78" w:rsidRDefault="00000000">
            <w:pPr>
              <w:spacing w:line="270" w:lineRule="auto"/>
            </w:pPr>
            <w:r>
              <w:rPr>
                <w:b/>
                <w:bCs/>
                <w:color w:val="2B2220"/>
                <w:sz w:val="19"/>
                <w:szCs w:val="19"/>
              </w:rPr>
              <w:t>Permanent recruitment</w:t>
            </w:r>
          </w:p>
        </w:tc>
        <w:tc>
          <w:tcPr>
            <w:tcW w:w="2708" w:type="dxa"/>
            <w:tcBorders>
              <w:top w:val="none" w:sz="0" w:space="0" w:color="FFFFFF"/>
              <w:left w:val="none" w:sz="0" w:space="0" w:color="FFFFFF"/>
              <w:bottom w:val="single" w:sz="4" w:space="0" w:color="DDD6CF"/>
              <w:right w:val="none" w:sz="0" w:space="0" w:color="FFFFFF"/>
            </w:tcBorders>
            <w:tcMar>
              <w:top w:w="90" w:type="dxa"/>
              <w:left w:w="120" w:type="dxa"/>
              <w:bottom w:w="90" w:type="dxa"/>
              <w:right w:w="120" w:type="dxa"/>
            </w:tcMar>
          </w:tcPr>
          <w:p w14:paraId="23385323" w14:textId="77777777" w:rsidR="00C10B78" w:rsidRDefault="00000000">
            <w:pPr>
              <w:spacing w:line="270" w:lineRule="auto"/>
            </w:pPr>
            <w:r>
              <w:rPr>
                <w:sz w:val="19"/>
                <w:szCs w:val="19"/>
              </w:rPr>
              <w:t>Recruit an additional permanent team member.</w:t>
            </w:r>
          </w:p>
        </w:tc>
        <w:tc>
          <w:tcPr>
            <w:tcW w:w="3881" w:type="dxa"/>
            <w:tcBorders>
              <w:top w:val="none" w:sz="0" w:space="0" w:color="FFFFFF"/>
              <w:left w:val="none" w:sz="0" w:space="0" w:color="FFFFFF"/>
              <w:bottom w:val="single" w:sz="4" w:space="0" w:color="DDD6CF"/>
              <w:right w:val="none" w:sz="0" w:space="0" w:color="FFFFFF"/>
            </w:tcBorders>
            <w:tcMar>
              <w:top w:w="90" w:type="dxa"/>
              <w:left w:w="120" w:type="dxa"/>
              <w:bottom w:w="90" w:type="dxa"/>
              <w:right w:w="120" w:type="dxa"/>
            </w:tcMar>
          </w:tcPr>
          <w:p w14:paraId="42DA2E8C" w14:textId="77777777" w:rsidR="00C10B78" w:rsidRDefault="00000000">
            <w:pPr>
              <w:spacing w:line="270" w:lineRule="auto"/>
            </w:pPr>
            <w:r>
              <w:rPr>
                <w:sz w:val="19"/>
                <w:szCs w:val="19"/>
              </w:rPr>
              <w:t>Adds long term capacity. Carries recruitment cost and lead time, and is difficult to reverse if demand changes.</w:t>
            </w:r>
          </w:p>
        </w:tc>
      </w:tr>
      <w:tr w:rsidR="00C10B78" w14:paraId="15EBBFB5" w14:textId="77777777">
        <w:tblPrEx>
          <w:tblCellMar>
            <w:top w:w="0" w:type="dxa"/>
            <w:bottom w:w="0" w:type="dxa"/>
          </w:tblCellMar>
        </w:tblPrEx>
        <w:trPr>
          <w:cantSplit/>
        </w:trPr>
        <w:tc>
          <w:tcPr>
            <w:tcW w:w="2437" w:type="dxa"/>
            <w:tcBorders>
              <w:top w:val="none" w:sz="0" w:space="0" w:color="FFFFFF"/>
              <w:left w:val="none" w:sz="0" w:space="0" w:color="FFFFFF"/>
              <w:bottom w:val="single" w:sz="4" w:space="0" w:color="DDD6CF"/>
              <w:right w:val="none" w:sz="0" w:space="0" w:color="FFFFFF"/>
            </w:tcBorders>
            <w:tcMar>
              <w:top w:w="90" w:type="dxa"/>
              <w:left w:w="120" w:type="dxa"/>
              <w:bottom w:w="90" w:type="dxa"/>
              <w:right w:w="120" w:type="dxa"/>
            </w:tcMar>
          </w:tcPr>
          <w:p w14:paraId="5C9E642F" w14:textId="77777777" w:rsidR="00C10B78" w:rsidRDefault="00000000">
            <w:pPr>
              <w:spacing w:line="270" w:lineRule="auto"/>
            </w:pPr>
            <w:r>
              <w:rPr>
                <w:b/>
                <w:bCs/>
                <w:color w:val="2B2220"/>
                <w:sz w:val="19"/>
                <w:szCs w:val="19"/>
              </w:rPr>
              <w:t>Flexible support, CoSec-on-Demand</w:t>
            </w:r>
          </w:p>
        </w:tc>
        <w:tc>
          <w:tcPr>
            <w:tcW w:w="2708" w:type="dxa"/>
            <w:tcBorders>
              <w:top w:val="none" w:sz="0" w:space="0" w:color="FFFFFF"/>
              <w:left w:val="none" w:sz="0" w:space="0" w:color="FFFFFF"/>
              <w:bottom w:val="single" w:sz="4" w:space="0" w:color="DDD6CF"/>
              <w:right w:val="none" w:sz="0" w:space="0" w:color="FFFFFF"/>
            </w:tcBorders>
            <w:tcMar>
              <w:top w:w="90" w:type="dxa"/>
              <w:left w:w="120" w:type="dxa"/>
              <w:bottom w:w="90" w:type="dxa"/>
              <w:right w:w="120" w:type="dxa"/>
            </w:tcMar>
          </w:tcPr>
          <w:p w14:paraId="43764B59" w14:textId="77777777" w:rsidR="00C10B78" w:rsidRDefault="00000000">
            <w:pPr>
              <w:spacing w:line="270" w:lineRule="auto"/>
            </w:pPr>
            <w:r>
              <w:rPr>
                <w:sz w:val="19"/>
                <w:szCs w:val="19"/>
              </w:rPr>
              <w:t>Engage experienced governance professionals on a flexible basis.</w:t>
            </w:r>
          </w:p>
        </w:tc>
        <w:tc>
          <w:tcPr>
            <w:tcW w:w="3881" w:type="dxa"/>
            <w:tcBorders>
              <w:top w:val="none" w:sz="0" w:space="0" w:color="FFFFFF"/>
              <w:left w:val="none" w:sz="0" w:space="0" w:color="FFFFFF"/>
              <w:bottom w:val="single" w:sz="4" w:space="0" w:color="DDD6CF"/>
              <w:right w:val="none" w:sz="0" w:space="0" w:color="FFFFFF"/>
            </w:tcBorders>
            <w:tcMar>
              <w:top w:w="90" w:type="dxa"/>
              <w:left w:w="120" w:type="dxa"/>
              <w:bottom w:w="90" w:type="dxa"/>
              <w:right w:w="120" w:type="dxa"/>
            </w:tcMar>
          </w:tcPr>
          <w:p w14:paraId="2C355ADE" w14:textId="77777777" w:rsidR="00C10B78" w:rsidRDefault="00000000">
            <w:pPr>
              <w:spacing w:line="270" w:lineRule="auto"/>
            </w:pPr>
            <w:r>
              <w:rPr>
                <w:sz w:val="19"/>
                <w:szCs w:val="19"/>
              </w:rPr>
              <w:t>Deployable within 48 to 72 hours. Scales up or down with need. No recruitment fees, and outside IR35.</w:t>
            </w:r>
          </w:p>
        </w:tc>
      </w:tr>
    </w:tbl>
    <w:p w14:paraId="10263A0E" w14:textId="77777777" w:rsidR="00C10B78" w:rsidRDefault="00C10B78">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C10B78" w14:paraId="201F5D19" w14:textId="77777777">
        <w:tblPrEx>
          <w:tblCellMar>
            <w:top w:w="0" w:type="dxa"/>
            <w:bottom w:w="0" w:type="dxa"/>
          </w:tblCellMar>
        </w:tblPrEx>
        <w:trPr>
          <w:cantSplit/>
        </w:trPr>
        <w:tc>
          <w:tcPr>
            <w:tcW w:w="9026" w:type="dxa"/>
            <w:tcBorders>
              <w:top w:val="none" w:sz="0" w:space="0" w:color="FFFFFF"/>
              <w:left w:val="single" w:sz="24" w:space="0" w:color="B5ADA6"/>
              <w:bottom w:val="none" w:sz="0" w:space="0" w:color="FFFFFF"/>
              <w:right w:val="none" w:sz="0" w:space="0" w:color="FFFFFF"/>
            </w:tcBorders>
            <w:shd w:val="clear" w:color="auto" w:fill="F3F1EE"/>
            <w:tcMar>
              <w:top w:w="160" w:type="dxa"/>
              <w:left w:w="240" w:type="dxa"/>
              <w:bottom w:w="100" w:type="dxa"/>
              <w:right w:w="240" w:type="dxa"/>
            </w:tcMar>
          </w:tcPr>
          <w:p w14:paraId="258DE083" w14:textId="77777777" w:rsidR="00C10B78" w:rsidRDefault="00000000">
            <w:pPr>
              <w:spacing w:after="100"/>
            </w:pPr>
            <w:r>
              <w:rPr>
                <w:b/>
                <w:bCs/>
                <w:color w:val="7A6F69"/>
                <w:spacing w:val="40"/>
                <w:sz w:val="16"/>
                <w:szCs w:val="16"/>
              </w:rPr>
              <w:t xml:space="preserve">LINKING TO RISK </w:t>
            </w:r>
            <w:proofErr w:type="gramStart"/>
            <w:r>
              <w:rPr>
                <w:b/>
                <w:bCs/>
                <w:color w:val="7A6F69"/>
                <w:spacing w:val="40"/>
                <w:sz w:val="16"/>
                <w:szCs w:val="16"/>
              </w:rPr>
              <w:t>APPETITE  ·</w:t>
            </w:r>
            <w:proofErr w:type="gramEnd"/>
            <w:r>
              <w:rPr>
                <w:b/>
                <w:bCs/>
                <w:color w:val="7A6F69"/>
                <w:spacing w:val="40"/>
                <w:sz w:val="16"/>
                <w:szCs w:val="16"/>
              </w:rPr>
              <w:t xml:space="preserve">  DELETE BEFORE SHARING</w:t>
            </w:r>
          </w:p>
          <w:p w14:paraId="4EEAC89F" w14:textId="77777777" w:rsidR="00C10B78" w:rsidRDefault="00000000">
            <w:pPr>
              <w:spacing w:after="140" w:line="300" w:lineRule="auto"/>
            </w:pPr>
            <w:r>
              <w:t>Where the residual rating sits outside the Board's stated risk appetite, record the mitigating action and the date by which the residual rating is expected to be achieved. This shows the risk is understood, owned and actively managed.</w:t>
            </w:r>
          </w:p>
        </w:tc>
      </w:tr>
    </w:tbl>
    <w:p w14:paraId="6E4339AF" w14:textId="77777777" w:rsidR="00C10B78" w:rsidRDefault="00C10B78">
      <w:pPr>
        <w:spacing w:after="120"/>
      </w:pPr>
    </w:p>
    <w:sectPr w:rsidR="00C10B78">
      <w:footerReference w:type="default" r:id="rId7"/>
      <w:pgSz w:w="11906" w:h="16838"/>
      <w:pgMar w:top="144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EED685" w14:textId="77777777" w:rsidR="00152856" w:rsidRDefault="00152856">
      <w:r>
        <w:separator/>
      </w:r>
    </w:p>
  </w:endnote>
  <w:endnote w:type="continuationSeparator" w:id="0">
    <w:p w14:paraId="2617A5B1" w14:textId="77777777" w:rsidR="00152856" w:rsidRDefault="00152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moder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6510B5" w14:textId="77777777" w:rsidR="00C10B78" w:rsidRDefault="00000000">
    <w:pPr>
      <w:pBdr>
        <w:top w:val="single" w:sz="4" w:space="6" w:color="DDD6CF"/>
      </w:pBdr>
      <w:tabs>
        <w:tab w:val="right" w:pos="9026"/>
      </w:tabs>
    </w:pPr>
    <w:r>
      <w:rPr>
        <w:color w:val="7A6F69"/>
        <w:sz w:val="15"/>
        <w:szCs w:val="15"/>
      </w:rPr>
      <w:t xml:space="preserve">Template provided by Beyond </w:t>
    </w:r>
    <w:proofErr w:type="gramStart"/>
    <w:r>
      <w:rPr>
        <w:color w:val="7A6F69"/>
        <w:sz w:val="15"/>
        <w:szCs w:val="15"/>
      </w:rPr>
      <w:t>Governance  ·</w:t>
    </w:r>
    <w:proofErr w:type="gramEnd"/>
    <w:r>
      <w:rPr>
        <w:color w:val="7A6F69"/>
        <w:sz w:val="15"/>
        <w:szCs w:val="15"/>
      </w:rPr>
      <w:t xml:space="preserve">  beyondgovernance.com</w:t>
    </w:r>
    <w:r>
      <w:rPr>
        <w:color w:val="7A6F69"/>
        <w:sz w:val="16"/>
        <w:szCs w:val="16"/>
      </w:rPr>
      <w:tab/>
    </w:r>
    <w:r>
      <w:rPr>
        <w:color w:val="7A6F69"/>
        <w:sz w:val="16"/>
        <w:szCs w:val="16"/>
      </w:rPr>
      <w:fldChar w:fldCharType="begin"/>
    </w:r>
    <w:r>
      <w:rPr>
        <w:color w:val="7A6F69"/>
        <w:sz w:val="16"/>
        <w:szCs w:val="16"/>
      </w:rPr>
      <w:instrText>PAGE</w:instrText>
    </w:r>
    <w:r>
      <w:rPr>
        <w:color w:val="7A6F69"/>
        <w:sz w:val="16"/>
        <w:szCs w:val="16"/>
      </w:rPr>
      <w:fldChar w:fldCharType="separate"/>
    </w:r>
    <w:r w:rsidR="008472EB">
      <w:rPr>
        <w:noProof/>
        <w:color w:val="7A6F69"/>
        <w:sz w:val="16"/>
        <w:szCs w:val="16"/>
      </w:rPr>
      <w:t>1</w:t>
    </w:r>
    <w:r>
      <w:rPr>
        <w:color w:val="7A6F6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3E78D5" w14:textId="77777777" w:rsidR="00152856" w:rsidRDefault="00152856">
      <w:r>
        <w:separator/>
      </w:r>
    </w:p>
  </w:footnote>
  <w:footnote w:type="continuationSeparator" w:id="0">
    <w:p w14:paraId="134A0C69" w14:textId="77777777" w:rsidR="00152856" w:rsidRDefault="001528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05390C"/>
    <w:multiLevelType w:val="hybridMultilevel"/>
    <w:tmpl w:val="8C1A2926"/>
    <w:lvl w:ilvl="0" w:tplc="FDC4CE6C" w:tentative="1">
      <w:start w:val="1"/>
      <w:numFmt w:val="decimal"/>
      <w:lvlText w:val="%1."/>
      <w:lvlJc w:val="left"/>
      <w:pPr>
        <w:ind w:left="540" w:hanging="360"/>
      </w:pPr>
      <w:rPr>
        <w:b/>
        <w:bCs/>
        <w:color w:val="8E2E36"/>
      </w:rPr>
    </w:lvl>
    <w:lvl w:ilvl="1" w:tplc="A97C6428">
      <w:numFmt w:val="decimal"/>
      <w:lvlText w:val=""/>
      <w:lvlJc w:val="left"/>
    </w:lvl>
    <w:lvl w:ilvl="2" w:tplc="F2DEE31C">
      <w:numFmt w:val="decimal"/>
      <w:lvlText w:val=""/>
      <w:lvlJc w:val="left"/>
    </w:lvl>
    <w:lvl w:ilvl="3" w:tplc="3A424E0C">
      <w:numFmt w:val="decimal"/>
      <w:lvlText w:val=""/>
      <w:lvlJc w:val="left"/>
    </w:lvl>
    <w:lvl w:ilvl="4" w:tplc="B1429FAA">
      <w:numFmt w:val="decimal"/>
      <w:lvlText w:val=""/>
      <w:lvlJc w:val="left"/>
    </w:lvl>
    <w:lvl w:ilvl="5" w:tplc="C3923430">
      <w:numFmt w:val="decimal"/>
      <w:lvlText w:val=""/>
      <w:lvlJc w:val="left"/>
    </w:lvl>
    <w:lvl w:ilvl="6" w:tplc="90EC32B2">
      <w:numFmt w:val="decimal"/>
      <w:lvlText w:val=""/>
      <w:lvlJc w:val="left"/>
    </w:lvl>
    <w:lvl w:ilvl="7" w:tplc="64F2EF30">
      <w:numFmt w:val="decimal"/>
      <w:lvlText w:val=""/>
      <w:lvlJc w:val="left"/>
    </w:lvl>
    <w:lvl w:ilvl="8" w:tplc="95402798">
      <w:numFmt w:val="decimal"/>
      <w:lvlText w:val=""/>
      <w:lvlJc w:val="left"/>
    </w:lvl>
  </w:abstractNum>
  <w:abstractNum w:abstractNumId="1" w15:restartNumberingAfterBreak="0">
    <w:nsid w:val="249A574B"/>
    <w:multiLevelType w:val="hybridMultilevel"/>
    <w:tmpl w:val="3BD23DEA"/>
    <w:lvl w:ilvl="0" w:tplc="9FECA126" w:tentative="1">
      <w:start w:val="1"/>
      <w:numFmt w:val="decimal"/>
      <w:lvlText w:val="%1."/>
      <w:lvlJc w:val="left"/>
      <w:pPr>
        <w:ind w:left="540" w:hanging="360"/>
      </w:pPr>
      <w:rPr>
        <w:b/>
        <w:bCs/>
        <w:color w:val="8E2E36"/>
      </w:rPr>
    </w:lvl>
    <w:lvl w:ilvl="1" w:tplc="C2DC0E32">
      <w:numFmt w:val="decimal"/>
      <w:lvlText w:val=""/>
      <w:lvlJc w:val="left"/>
    </w:lvl>
    <w:lvl w:ilvl="2" w:tplc="F9CEE808">
      <w:numFmt w:val="decimal"/>
      <w:lvlText w:val=""/>
      <w:lvlJc w:val="left"/>
    </w:lvl>
    <w:lvl w:ilvl="3" w:tplc="32A09858">
      <w:numFmt w:val="decimal"/>
      <w:lvlText w:val=""/>
      <w:lvlJc w:val="left"/>
    </w:lvl>
    <w:lvl w:ilvl="4" w:tplc="D5E072CA">
      <w:numFmt w:val="decimal"/>
      <w:lvlText w:val=""/>
      <w:lvlJc w:val="left"/>
    </w:lvl>
    <w:lvl w:ilvl="5" w:tplc="2172631E">
      <w:numFmt w:val="decimal"/>
      <w:lvlText w:val=""/>
      <w:lvlJc w:val="left"/>
    </w:lvl>
    <w:lvl w:ilvl="6" w:tplc="0BECAB12">
      <w:numFmt w:val="decimal"/>
      <w:lvlText w:val=""/>
      <w:lvlJc w:val="left"/>
    </w:lvl>
    <w:lvl w:ilvl="7" w:tplc="6B2610B2">
      <w:numFmt w:val="decimal"/>
      <w:lvlText w:val=""/>
      <w:lvlJc w:val="left"/>
    </w:lvl>
    <w:lvl w:ilvl="8" w:tplc="E880331A">
      <w:numFmt w:val="decimal"/>
      <w:lvlText w:val=""/>
      <w:lvlJc w:val="left"/>
    </w:lvl>
  </w:abstractNum>
  <w:abstractNum w:abstractNumId="2" w15:restartNumberingAfterBreak="0">
    <w:nsid w:val="36EA61AD"/>
    <w:multiLevelType w:val="hybridMultilevel"/>
    <w:tmpl w:val="F6023236"/>
    <w:lvl w:ilvl="0" w:tplc="BC7200EA" w:tentative="1">
      <w:start w:val="1"/>
      <w:numFmt w:val="bullet"/>
      <w:lvlText w:val="●"/>
      <w:lvlJc w:val="left"/>
      <w:pPr>
        <w:ind w:left="720" w:hanging="360"/>
      </w:pPr>
    </w:lvl>
    <w:lvl w:ilvl="1" w:tplc="53765D10" w:tentative="1">
      <w:start w:val="1"/>
      <w:numFmt w:val="bullet"/>
      <w:lvlText w:val="○"/>
      <w:lvlJc w:val="left"/>
      <w:pPr>
        <w:ind w:left="1440" w:hanging="360"/>
      </w:pPr>
    </w:lvl>
    <w:lvl w:ilvl="2" w:tplc="C40814D0" w:tentative="1">
      <w:start w:val="1"/>
      <w:numFmt w:val="bullet"/>
      <w:lvlText w:val="■"/>
      <w:lvlJc w:val="left"/>
      <w:pPr>
        <w:ind w:left="2160" w:hanging="360"/>
      </w:pPr>
    </w:lvl>
    <w:lvl w:ilvl="3" w:tplc="B7DE2F80" w:tentative="1">
      <w:start w:val="1"/>
      <w:numFmt w:val="bullet"/>
      <w:lvlText w:val="●"/>
      <w:lvlJc w:val="left"/>
      <w:pPr>
        <w:ind w:left="2880" w:hanging="360"/>
      </w:pPr>
    </w:lvl>
    <w:lvl w:ilvl="4" w:tplc="B0B82402" w:tentative="1">
      <w:start w:val="1"/>
      <w:numFmt w:val="bullet"/>
      <w:lvlText w:val="○"/>
      <w:lvlJc w:val="left"/>
      <w:pPr>
        <w:ind w:left="3600" w:hanging="360"/>
      </w:pPr>
    </w:lvl>
    <w:lvl w:ilvl="5" w:tplc="A65E14E0" w:tentative="1">
      <w:start w:val="1"/>
      <w:numFmt w:val="bullet"/>
      <w:lvlText w:val="■"/>
      <w:lvlJc w:val="left"/>
      <w:pPr>
        <w:ind w:left="4320" w:hanging="360"/>
      </w:pPr>
    </w:lvl>
    <w:lvl w:ilvl="6" w:tplc="264CADAC" w:tentative="1">
      <w:start w:val="1"/>
      <w:numFmt w:val="bullet"/>
      <w:lvlText w:val="●"/>
      <w:lvlJc w:val="left"/>
      <w:pPr>
        <w:ind w:left="5040" w:hanging="360"/>
      </w:pPr>
    </w:lvl>
    <w:lvl w:ilvl="7" w:tplc="1E3E91FE" w:tentative="1">
      <w:start w:val="1"/>
      <w:numFmt w:val="bullet"/>
      <w:lvlText w:val="●"/>
      <w:lvlJc w:val="left"/>
      <w:pPr>
        <w:ind w:left="5760" w:hanging="360"/>
      </w:pPr>
    </w:lvl>
    <w:lvl w:ilvl="8" w:tplc="36F24F14" w:tentative="1">
      <w:start w:val="1"/>
      <w:numFmt w:val="bullet"/>
      <w:lvlText w:val="●"/>
      <w:lvlJc w:val="left"/>
      <w:pPr>
        <w:ind w:left="6480" w:hanging="360"/>
      </w:pPr>
    </w:lvl>
  </w:abstractNum>
  <w:abstractNum w:abstractNumId="3" w15:restartNumberingAfterBreak="0">
    <w:nsid w:val="479A1C28"/>
    <w:multiLevelType w:val="hybridMultilevel"/>
    <w:tmpl w:val="D07E0F60"/>
    <w:lvl w:ilvl="0" w:tplc="5CB036AE" w:tentative="1">
      <w:start w:val="1"/>
      <w:numFmt w:val="decimal"/>
      <w:lvlText w:val="%1."/>
      <w:lvlJc w:val="left"/>
      <w:pPr>
        <w:ind w:left="540" w:hanging="360"/>
      </w:pPr>
      <w:rPr>
        <w:b/>
        <w:bCs/>
        <w:color w:val="8E2E36"/>
      </w:rPr>
    </w:lvl>
    <w:lvl w:ilvl="1" w:tplc="4126A83A">
      <w:numFmt w:val="decimal"/>
      <w:lvlText w:val=""/>
      <w:lvlJc w:val="left"/>
    </w:lvl>
    <w:lvl w:ilvl="2" w:tplc="56985CCE">
      <w:numFmt w:val="decimal"/>
      <w:lvlText w:val=""/>
      <w:lvlJc w:val="left"/>
    </w:lvl>
    <w:lvl w:ilvl="3" w:tplc="B18A8024">
      <w:numFmt w:val="decimal"/>
      <w:lvlText w:val=""/>
      <w:lvlJc w:val="left"/>
    </w:lvl>
    <w:lvl w:ilvl="4" w:tplc="4EA6A808">
      <w:numFmt w:val="decimal"/>
      <w:lvlText w:val=""/>
      <w:lvlJc w:val="left"/>
    </w:lvl>
    <w:lvl w:ilvl="5" w:tplc="DD82471A">
      <w:numFmt w:val="decimal"/>
      <w:lvlText w:val=""/>
      <w:lvlJc w:val="left"/>
    </w:lvl>
    <w:lvl w:ilvl="6" w:tplc="343EA870">
      <w:numFmt w:val="decimal"/>
      <w:lvlText w:val=""/>
      <w:lvlJc w:val="left"/>
    </w:lvl>
    <w:lvl w:ilvl="7" w:tplc="7EC279F4">
      <w:numFmt w:val="decimal"/>
      <w:lvlText w:val=""/>
      <w:lvlJc w:val="left"/>
    </w:lvl>
    <w:lvl w:ilvl="8" w:tplc="0D501824">
      <w:numFmt w:val="decimal"/>
      <w:lvlText w:val=""/>
      <w:lvlJc w:val="left"/>
    </w:lvl>
  </w:abstractNum>
  <w:abstractNum w:abstractNumId="4" w15:restartNumberingAfterBreak="0">
    <w:nsid w:val="4AC121D1"/>
    <w:multiLevelType w:val="hybridMultilevel"/>
    <w:tmpl w:val="2F6A442E"/>
    <w:lvl w:ilvl="0" w:tplc="0EB6BC08" w:tentative="1">
      <w:start w:val="1"/>
      <w:numFmt w:val="bullet"/>
      <w:lvlText w:val="▪"/>
      <w:lvlJc w:val="left"/>
      <w:pPr>
        <w:ind w:left="540" w:hanging="300"/>
      </w:pPr>
      <w:rPr>
        <w:color w:val="8E2E36"/>
      </w:rPr>
    </w:lvl>
    <w:lvl w:ilvl="1" w:tplc="28942DEC">
      <w:numFmt w:val="decimal"/>
      <w:lvlText w:val=""/>
      <w:lvlJc w:val="left"/>
    </w:lvl>
    <w:lvl w:ilvl="2" w:tplc="37E0FCBA">
      <w:numFmt w:val="decimal"/>
      <w:lvlText w:val=""/>
      <w:lvlJc w:val="left"/>
    </w:lvl>
    <w:lvl w:ilvl="3" w:tplc="0A940E10">
      <w:numFmt w:val="decimal"/>
      <w:lvlText w:val=""/>
      <w:lvlJc w:val="left"/>
    </w:lvl>
    <w:lvl w:ilvl="4" w:tplc="EC7E31EC">
      <w:numFmt w:val="decimal"/>
      <w:lvlText w:val=""/>
      <w:lvlJc w:val="left"/>
    </w:lvl>
    <w:lvl w:ilvl="5" w:tplc="B5EE0E4A">
      <w:numFmt w:val="decimal"/>
      <w:lvlText w:val=""/>
      <w:lvlJc w:val="left"/>
    </w:lvl>
    <w:lvl w:ilvl="6" w:tplc="7FD450EA">
      <w:numFmt w:val="decimal"/>
      <w:lvlText w:val=""/>
      <w:lvlJc w:val="left"/>
    </w:lvl>
    <w:lvl w:ilvl="7" w:tplc="84C885A0">
      <w:numFmt w:val="decimal"/>
      <w:lvlText w:val=""/>
      <w:lvlJc w:val="left"/>
    </w:lvl>
    <w:lvl w:ilvl="8" w:tplc="F20091A6">
      <w:numFmt w:val="decimal"/>
      <w:lvlText w:val=""/>
      <w:lvlJc w:val="left"/>
    </w:lvl>
  </w:abstractNum>
  <w:abstractNum w:abstractNumId="5" w15:restartNumberingAfterBreak="0">
    <w:nsid w:val="55310986"/>
    <w:multiLevelType w:val="hybridMultilevel"/>
    <w:tmpl w:val="0164D462"/>
    <w:lvl w:ilvl="0" w:tplc="33943CAA" w:tentative="1">
      <w:start w:val="1"/>
      <w:numFmt w:val="decimal"/>
      <w:lvlText w:val="%1."/>
      <w:lvlJc w:val="left"/>
      <w:pPr>
        <w:ind w:left="540" w:hanging="360"/>
      </w:pPr>
      <w:rPr>
        <w:b/>
        <w:bCs/>
        <w:color w:val="8E2E36"/>
      </w:rPr>
    </w:lvl>
    <w:lvl w:ilvl="1" w:tplc="D6704548">
      <w:numFmt w:val="decimal"/>
      <w:lvlText w:val=""/>
      <w:lvlJc w:val="left"/>
    </w:lvl>
    <w:lvl w:ilvl="2" w:tplc="52ACE56E">
      <w:numFmt w:val="decimal"/>
      <w:lvlText w:val=""/>
      <w:lvlJc w:val="left"/>
    </w:lvl>
    <w:lvl w:ilvl="3" w:tplc="4F3E72E4">
      <w:numFmt w:val="decimal"/>
      <w:lvlText w:val=""/>
      <w:lvlJc w:val="left"/>
    </w:lvl>
    <w:lvl w:ilvl="4" w:tplc="312CD0FE">
      <w:numFmt w:val="decimal"/>
      <w:lvlText w:val=""/>
      <w:lvlJc w:val="left"/>
    </w:lvl>
    <w:lvl w:ilvl="5" w:tplc="43A6BCF4">
      <w:numFmt w:val="decimal"/>
      <w:lvlText w:val=""/>
      <w:lvlJc w:val="left"/>
    </w:lvl>
    <w:lvl w:ilvl="6" w:tplc="6EF292DE">
      <w:numFmt w:val="decimal"/>
      <w:lvlText w:val=""/>
      <w:lvlJc w:val="left"/>
    </w:lvl>
    <w:lvl w:ilvl="7" w:tplc="E52EC110">
      <w:numFmt w:val="decimal"/>
      <w:lvlText w:val=""/>
      <w:lvlJc w:val="left"/>
    </w:lvl>
    <w:lvl w:ilvl="8" w:tplc="238C32E2">
      <w:numFmt w:val="decimal"/>
      <w:lvlText w:val=""/>
      <w:lvlJc w:val="left"/>
    </w:lvl>
  </w:abstractNum>
  <w:abstractNum w:abstractNumId="6" w15:restartNumberingAfterBreak="0">
    <w:nsid w:val="616473EF"/>
    <w:multiLevelType w:val="hybridMultilevel"/>
    <w:tmpl w:val="D1CE5F4A"/>
    <w:lvl w:ilvl="0" w:tplc="1E62D998" w:tentative="1">
      <w:start w:val="1"/>
      <w:numFmt w:val="decimal"/>
      <w:lvlText w:val="%1."/>
      <w:lvlJc w:val="left"/>
      <w:pPr>
        <w:ind w:left="540" w:hanging="360"/>
      </w:pPr>
      <w:rPr>
        <w:b/>
        <w:bCs/>
        <w:color w:val="8E2E36"/>
      </w:rPr>
    </w:lvl>
    <w:lvl w:ilvl="1" w:tplc="5D5AAEDA">
      <w:numFmt w:val="decimal"/>
      <w:lvlText w:val=""/>
      <w:lvlJc w:val="left"/>
    </w:lvl>
    <w:lvl w:ilvl="2" w:tplc="793C64C2">
      <w:numFmt w:val="decimal"/>
      <w:lvlText w:val=""/>
      <w:lvlJc w:val="left"/>
    </w:lvl>
    <w:lvl w:ilvl="3" w:tplc="C7D60ACC">
      <w:numFmt w:val="decimal"/>
      <w:lvlText w:val=""/>
      <w:lvlJc w:val="left"/>
    </w:lvl>
    <w:lvl w:ilvl="4" w:tplc="79D08324">
      <w:numFmt w:val="decimal"/>
      <w:lvlText w:val=""/>
      <w:lvlJc w:val="left"/>
    </w:lvl>
    <w:lvl w:ilvl="5" w:tplc="65EEF9AE">
      <w:numFmt w:val="decimal"/>
      <w:lvlText w:val=""/>
      <w:lvlJc w:val="left"/>
    </w:lvl>
    <w:lvl w:ilvl="6" w:tplc="5046FC46">
      <w:numFmt w:val="decimal"/>
      <w:lvlText w:val=""/>
      <w:lvlJc w:val="left"/>
    </w:lvl>
    <w:lvl w:ilvl="7" w:tplc="D46CAB44">
      <w:numFmt w:val="decimal"/>
      <w:lvlText w:val=""/>
      <w:lvlJc w:val="left"/>
    </w:lvl>
    <w:lvl w:ilvl="8" w:tplc="E49E0878">
      <w:numFmt w:val="decimal"/>
      <w:lvlText w:val=""/>
      <w:lvlJc w:val="left"/>
    </w:lvl>
  </w:abstractNum>
  <w:abstractNum w:abstractNumId="7" w15:restartNumberingAfterBreak="0">
    <w:nsid w:val="778C08A5"/>
    <w:multiLevelType w:val="hybridMultilevel"/>
    <w:tmpl w:val="C1F20990"/>
    <w:lvl w:ilvl="0" w:tplc="2D94E472" w:tentative="1">
      <w:start w:val="1"/>
      <w:numFmt w:val="decimal"/>
      <w:lvlText w:val="%1."/>
      <w:lvlJc w:val="left"/>
      <w:pPr>
        <w:ind w:left="540" w:hanging="360"/>
      </w:pPr>
      <w:rPr>
        <w:b/>
        <w:bCs/>
        <w:color w:val="8E2E36"/>
      </w:rPr>
    </w:lvl>
    <w:lvl w:ilvl="1" w:tplc="64E89DBE">
      <w:numFmt w:val="decimal"/>
      <w:lvlText w:val=""/>
      <w:lvlJc w:val="left"/>
    </w:lvl>
    <w:lvl w:ilvl="2" w:tplc="2E12DBF2">
      <w:numFmt w:val="decimal"/>
      <w:lvlText w:val=""/>
      <w:lvlJc w:val="left"/>
    </w:lvl>
    <w:lvl w:ilvl="3" w:tplc="564C36C4">
      <w:numFmt w:val="decimal"/>
      <w:lvlText w:val=""/>
      <w:lvlJc w:val="left"/>
    </w:lvl>
    <w:lvl w:ilvl="4" w:tplc="70F86006">
      <w:numFmt w:val="decimal"/>
      <w:lvlText w:val=""/>
      <w:lvlJc w:val="left"/>
    </w:lvl>
    <w:lvl w:ilvl="5" w:tplc="55589E76">
      <w:numFmt w:val="decimal"/>
      <w:lvlText w:val=""/>
      <w:lvlJc w:val="left"/>
    </w:lvl>
    <w:lvl w:ilvl="6" w:tplc="7EC6F1F8">
      <w:numFmt w:val="decimal"/>
      <w:lvlText w:val=""/>
      <w:lvlJc w:val="left"/>
    </w:lvl>
    <w:lvl w:ilvl="7" w:tplc="39E2E198">
      <w:numFmt w:val="decimal"/>
      <w:lvlText w:val=""/>
      <w:lvlJc w:val="left"/>
    </w:lvl>
    <w:lvl w:ilvl="8" w:tplc="32B2276E">
      <w:numFmt w:val="decimal"/>
      <w:lvlText w:val=""/>
      <w:lvlJc w:val="left"/>
    </w:lvl>
  </w:abstractNum>
  <w:num w:numId="1" w16cid:durableId="330302385">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B78"/>
    <w:rsid w:val="00152856"/>
    <w:rsid w:val="0042421F"/>
    <w:rsid w:val="008472EB"/>
    <w:rsid w:val="00C10B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A16447F"/>
  <w15:docId w15:val="{5392EDF3-8B1A-A94A-99E3-450634EC8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3A3230"/>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00" w:after="120"/>
      <w:outlineLvl w:val="0"/>
    </w:pPr>
    <w:rPr>
      <w:b/>
      <w:bCs/>
      <w:color w:val="2B2220"/>
      <w:sz w:val="26"/>
      <w:szCs w:val="26"/>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itle">
    <w:name w:val="Title"/>
    <w:basedOn w:val="Normal"/>
    <w:uiPriority w:val="10"/>
    <w:qFormat/>
    <w:rPr>
      <w:b/>
      <w:bCs/>
      <w:color w:val="2B2220"/>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537</Words>
  <Characters>3072</Characters>
  <Application>Microsoft Office Word</Application>
  <DocSecurity>0</DocSecurity>
  <Lines>92</Lines>
  <Paragraphs>52</Paragraphs>
  <ScaleCrop>false</ScaleCrop>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Register Wording</dc:title>
  <dc:creator>Beyond Governance</dc:creator>
  <cp:lastModifiedBy>Joe Morris</cp:lastModifiedBy>
  <cp:revision>2</cp:revision>
  <dcterms:created xsi:type="dcterms:W3CDTF">2026-10-30T09:21:00Z</dcterms:created>
  <dcterms:modified xsi:type="dcterms:W3CDTF">2026-10-30T10:23:00Z</dcterms:modified>
</cp:coreProperties>
</file>